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C1E9" w14:textId="77777777" w:rsidR="00FF682E" w:rsidRDefault="00FF682E" w:rsidP="00FF682E">
      <w:pPr>
        <w:pStyle w:val="Heading1"/>
      </w:pPr>
    </w:p>
    <w:p w14:paraId="72B5D8B6" w14:textId="49C7ADA2" w:rsidR="00FF682E" w:rsidRPr="00FF682E" w:rsidRDefault="00FF682E" w:rsidP="00FF682E">
      <w:pPr>
        <w:pStyle w:val="Heading1"/>
      </w:pPr>
      <w:r w:rsidRPr="00FF682E">
        <w:t>Section 4</w:t>
      </w:r>
      <w:r w:rsidRPr="00FF682E">
        <w:tab/>
        <w:t>Medical Services</w:t>
      </w:r>
    </w:p>
    <w:p w14:paraId="4547C523" w14:textId="77777777" w:rsidR="00FF682E" w:rsidRPr="00FF682E" w:rsidRDefault="00FF682E" w:rsidP="00FF682E">
      <w:pPr>
        <w:pStyle w:val="Heading2"/>
      </w:pPr>
      <w:r w:rsidRPr="00FF682E">
        <w:t>Part 11</w:t>
      </w:r>
      <w:r w:rsidRPr="00FF682E">
        <w:tab/>
        <w:t>Surgery</w:t>
      </w:r>
    </w:p>
    <w:p w14:paraId="6D62B5D7" w14:textId="77777777" w:rsidR="00FF682E" w:rsidRPr="00FF682E" w:rsidRDefault="00FF682E" w:rsidP="00FF682E">
      <w:r w:rsidRPr="00FF682E">
        <w:t>The spending authority for surgery/surgeries for the life of the case is $4,999.</w:t>
      </w:r>
    </w:p>
    <w:p w14:paraId="7EE6E90B" w14:textId="068477B8" w:rsidR="00FF682E" w:rsidRPr="00FF682E" w:rsidRDefault="00FF682E" w:rsidP="00FF682E">
      <w:r w:rsidRPr="00FF682E">
        <w:t>When an individual surgery or a combination of surgeries is projected to cost $5,000 or more, prior approval is required by DCF purchasin</w:t>
      </w:r>
      <w:bookmarkStart w:id="0" w:name="_GoBack"/>
      <w:bookmarkEnd w:id="0"/>
      <w:r w:rsidRPr="00FF682E">
        <w:t>g. Use of the Exceptions Request Form (</w:t>
      </w:r>
      <w:r w:rsidR="009F7089">
        <w:t>Forms</w:t>
      </w:r>
      <w:r w:rsidRPr="00FF682E">
        <w:t xml:space="preserve"> Part 54) is required. These costs include hospital and primary doctor fees. These costs do not include radiology, anesthesia or other related expenses.</w:t>
      </w:r>
    </w:p>
    <w:p w14:paraId="7B875995" w14:textId="77777777" w:rsidR="00FF682E" w:rsidRPr="00FF682E" w:rsidRDefault="00FF682E" w:rsidP="00FF682E">
      <w:r w:rsidRPr="00FF682E">
        <w:t>When including surgery as an IPE service, regardless of the projected costs, the counselor must analyze and document the following factors:</w:t>
      </w:r>
    </w:p>
    <w:p w14:paraId="12849C72" w14:textId="77777777" w:rsidR="00FF682E" w:rsidRPr="00FF682E" w:rsidRDefault="00FF682E" w:rsidP="00FF682E">
      <w:pPr>
        <w:numPr>
          <w:ilvl w:val="0"/>
          <w:numId w:val="23"/>
        </w:numPr>
        <w:tabs>
          <w:tab w:val="left" w:pos="720"/>
        </w:tabs>
        <w:spacing w:before="100" w:beforeAutospacing="1"/>
      </w:pPr>
      <w:r w:rsidRPr="00FF682E">
        <w:t>Prognosis and doctor’s written recommendation.</w:t>
      </w:r>
    </w:p>
    <w:p w14:paraId="047289E0" w14:textId="77777777" w:rsidR="00FF682E" w:rsidRPr="00FF682E" w:rsidRDefault="00FF682E" w:rsidP="00FF682E">
      <w:pPr>
        <w:numPr>
          <w:ilvl w:val="0"/>
          <w:numId w:val="23"/>
        </w:numPr>
        <w:tabs>
          <w:tab w:val="left" w:pos="720"/>
        </w:tabs>
        <w:spacing w:before="100" w:beforeAutospacing="1"/>
      </w:pPr>
      <w:r w:rsidRPr="00FF682E">
        <w:t>Medical necessity.</w:t>
      </w:r>
    </w:p>
    <w:p w14:paraId="391FFC4A" w14:textId="77777777" w:rsidR="00FF682E" w:rsidRPr="00FF682E" w:rsidRDefault="00FF682E" w:rsidP="00FF682E">
      <w:pPr>
        <w:numPr>
          <w:ilvl w:val="0"/>
          <w:numId w:val="23"/>
        </w:numPr>
        <w:tabs>
          <w:tab w:val="left" w:pos="720"/>
        </w:tabs>
        <w:spacing w:before="100" w:beforeAutospacing="1"/>
      </w:pPr>
      <w:r w:rsidRPr="00FF682E">
        <w:t>Analysis of whether there are feasible alternatives.</w:t>
      </w:r>
    </w:p>
    <w:p w14:paraId="1B1E7947" w14:textId="77777777" w:rsidR="00FF682E" w:rsidRPr="00FF682E" w:rsidRDefault="00FF682E" w:rsidP="00FF682E">
      <w:pPr>
        <w:numPr>
          <w:ilvl w:val="0"/>
          <w:numId w:val="23"/>
        </w:numPr>
        <w:tabs>
          <w:tab w:val="left" w:pos="720"/>
        </w:tabs>
        <w:spacing w:before="100" w:beforeAutospacing="1"/>
      </w:pPr>
      <w:r w:rsidRPr="00FF682E">
        <w:t>Client’s prior efforts to resolve the issue using alternatives to surgery, if such alternatives are available and medically feasible.</w:t>
      </w:r>
    </w:p>
    <w:p w14:paraId="7B1F5CD3" w14:textId="77777777" w:rsidR="00FF682E" w:rsidRPr="00FF682E" w:rsidRDefault="00FF682E" w:rsidP="00FF682E">
      <w:pPr>
        <w:numPr>
          <w:ilvl w:val="0"/>
          <w:numId w:val="23"/>
        </w:numPr>
        <w:tabs>
          <w:tab w:val="left" w:pos="720"/>
        </w:tabs>
        <w:spacing w:before="100" w:beforeAutospacing="1"/>
      </w:pPr>
      <w:r w:rsidRPr="00FF682E">
        <w:t>Client’s willingness to adhere to lifestyle changes, as appropriate, before and after surgery.</w:t>
      </w:r>
    </w:p>
    <w:p w14:paraId="7D390827" w14:textId="77777777" w:rsidR="00FF682E" w:rsidRPr="00FF682E" w:rsidRDefault="00FF682E" w:rsidP="00FF682E">
      <w:pPr>
        <w:numPr>
          <w:ilvl w:val="0"/>
          <w:numId w:val="23"/>
        </w:numPr>
        <w:tabs>
          <w:tab w:val="left" w:pos="720"/>
        </w:tabs>
        <w:spacing w:before="100" w:beforeAutospacing="1"/>
      </w:pPr>
      <w:r w:rsidRPr="00FF682E">
        <w:t>Analysis of how the surgery will correct, stabilize, or reduce the progression of the disabling condition, if appropriate.</w:t>
      </w:r>
    </w:p>
    <w:p w14:paraId="0FFAC9F7" w14:textId="77777777" w:rsidR="00FF682E" w:rsidRPr="00FF682E" w:rsidRDefault="00FF682E" w:rsidP="00FF682E">
      <w:pPr>
        <w:numPr>
          <w:ilvl w:val="0"/>
          <w:numId w:val="23"/>
        </w:numPr>
        <w:tabs>
          <w:tab w:val="left" w:pos="720"/>
        </w:tabs>
        <w:spacing w:before="100" w:beforeAutospacing="1"/>
      </w:pPr>
      <w:r w:rsidRPr="00FF682E">
        <w:t>Analysis of how/why the surgery is required to reduce or minimize an impediment to employment and the impact of this service on the client’s ability to achieve employment.</w:t>
      </w:r>
    </w:p>
    <w:p w14:paraId="2322BDB5" w14:textId="77777777" w:rsidR="00FF682E" w:rsidRPr="00FF682E" w:rsidRDefault="00FF682E" w:rsidP="00FF682E">
      <w:pPr>
        <w:numPr>
          <w:ilvl w:val="0"/>
          <w:numId w:val="23"/>
        </w:numPr>
        <w:tabs>
          <w:tab w:val="left" w:pos="720"/>
        </w:tabs>
        <w:spacing w:before="100" w:beforeAutospacing="1"/>
      </w:pPr>
      <w:r w:rsidRPr="00FF682E">
        <w:t>Availability and application of comparable benefits (unless the client requires the service immediately because of extreme medical risk.)</w:t>
      </w:r>
    </w:p>
    <w:p w14:paraId="06D48C58" w14:textId="77777777" w:rsidR="00FF682E" w:rsidRPr="00FF682E" w:rsidRDefault="00FF682E" w:rsidP="00FF682E">
      <w:r w:rsidRPr="00FF682E">
        <w:t>Appropriate CPT and service codes are required.</w:t>
      </w:r>
    </w:p>
    <w:p w14:paraId="2318B94D" w14:textId="77777777" w:rsidR="00FF682E" w:rsidRPr="00FF682E" w:rsidRDefault="00FF682E" w:rsidP="00FF682E">
      <w:r w:rsidRPr="00FF682E">
        <w:rPr>
          <w:b/>
          <w:bCs/>
        </w:rPr>
        <w:t>Special procedures for dental surgery:</w:t>
      </w:r>
    </w:p>
    <w:p w14:paraId="068994B2" w14:textId="77777777" w:rsidR="00FF682E" w:rsidRPr="00FF682E" w:rsidRDefault="00FF682E" w:rsidP="00FF682E">
      <w:pPr>
        <w:numPr>
          <w:ilvl w:val="0"/>
          <w:numId w:val="24"/>
        </w:numPr>
        <w:tabs>
          <w:tab w:val="left" w:pos="720"/>
        </w:tabs>
        <w:spacing w:before="100" w:beforeAutospacing="1"/>
      </w:pPr>
      <w:r w:rsidRPr="00FF682E">
        <w:t>The surgery analysis described above is required for oral and maxillofacial surgeries with American Dental Association (ADA) procedure codes D7260 to D7999.</w:t>
      </w:r>
    </w:p>
    <w:p w14:paraId="671A1C58" w14:textId="77777777" w:rsidR="00FF682E" w:rsidRPr="00FF682E" w:rsidRDefault="00FF682E" w:rsidP="00FF682E">
      <w:pPr>
        <w:numPr>
          <w:ilvl w:val="0"/>
          <w:numId w:val="24"/>
        </w:numPr>
        <w:tabs>
          <w:tab w:val="left" w:pos="720"/>
        </w:tabs>
        <w:spacing w:before="100" w:beforeAutospacing="1"/>
      </w:pPr>
      <w:r w:rsidRPr="00FF682E">
        <w:br w:type="page"/>
      </w:r>
      <w:r w:rsidRPr="00FF682E">
        <w:lastRenderedPageBreak/>
        <w:t>The surgery analysis is NOT required for ADA procedure codes D7000 to D7259. Therefore, most extractions will not require completion of the surgery analysis.</w:t>
      </w:r>
    </w:p>
    <w:p w14:paraId="6FBE5833" w14:textId="77777777" w:rsidR="00FF682E" w:rsidRPr="00FF682E" w:rsidRDefault="00FF682E" w:rsidP="00FF682E">
      <w:pPr>
        <w:numPr>
          <w:ilvl w:val="0"/>
          <w:numId w:val="24"/>
        </w:numPr>
        <w:tabs>
          <w:tab w:val="left" w:pos="720"/>
        </w:tabs>
        <w:spacing w:before="100" w:beforeAutospacing="1"/>
      </w:pPr>
      <w:r w:rsidRPr="00FF682E">
        <w:t>The Counselor must get the ADA code from the dentist prior to authorizing the service in order to determine whether the surgery analysis is required.</w:t>
      </w:r>
    </w:p>
    <w:p w14:paraId="744A7C82" w14:textId="77777777" w:rsidR="00FF682E" w:rsidRPr="00FF682E" w:rsidRDefault="00FF682E" w:rsidP="00FF682E">
      <w:pPr>
        <w:numPr>
          <w:ilvl w:val="0"/>
          <w:numId w:val="24"/>
        </w:numPr>
        <w:tabs>
          <w:tab w:val="left" w:pos="720"/>
        </w:tabs>
        <w:spacing w:before="100" w:beforeAutospacing="1"/>
      </w:pPr>
      <w:r w:rsidRPr="00FF682E">
        <w:t>See Resources - Part 29 for a copy of the ADA code listing.</w:t>
      </w:r>
    </w:p>
    <w:p w14:paraId="68977B4A" w14:textId="77777777" w:rsidR="00FF682E" w:rsidRPr="00FF682E" w:rsidRDefault="00FF682E" w:rsidP="00FF682E">
      <w:pPr>
        <w:sectPr w:rsidR="00FF682E" w:rsidRPr="00FF682E" w:rsidSect="00FF682E">
          <w:headerReference w:type="default" r:id="rId8"/>
          <w:footerReference w:type="default" r:id="rId9"/>
          <w:type w:val="continuous"/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14:paraId="1661ADA9" w14:textId="77777777" w:rsidR="00FF682E" w:rsidRPr="00FF682E" w:rsidRDefault="00FF682E" w:rsidP="00FF682E">
      <w:pPr>
        <w:spacing w:before="100" w:beforeAutospacing="1" w:after="100" w:afterAutospacing="1"/>
        <w:outlineLvl w:val="0"/>
        <w:rPr>
          <w:b/>
          <w:bCs/>
          <w:kern w:val="36"/>
        </w:rPr>
      </w:pPr>
      <w:bookmarkStart w:id="1" w:name="section_5_part-1_achieved_employ_3275"/>
      <w:bookmarkStart w:id="2" w:name="S_5_p_1"/>
      <w:bookmarkEnd w:id="1"/>
      <w:bookmarkEnd w:id="2"/>
    </w:p>
    <w:p w14:paraId="3C4FF5D3" w14:textId="77777777" w:rsidR="00FF682E" w:rsidRPr="00FF682E" w:rsidRDefault="00FF682E" w:rsidP="00FF682E"/>
    <w:p w14:paraId="629679CA" w14:textId="77777777" w:rsidR="00FF682E" w:rsidRPr="00FF682E" w:rsidRDefault="00FF682E" w:rsidP="00FF682E"/>
    <w:p w14:paraId="47B979C0" w14:textId="77777777" w:rsidR="006D0022" w:rsidRPr="00F15429" w:rsidRDefault="006D0022" w:rsidP="006D0022"/>
    <w:p w14:paraId="2EFDD8E5" w14:textId="5DDAEB20" w:rsidR="00E47B05" w:rsidRPr="00F15429" w:rsidRDefault="00E47B05" w:rsidP="00A56988">
      <w:pPr>
        <w:pStyle w:val="Heading2"/>
      </w:pPr>
    </w:p>
    <w:sectPr w:rsidR="00E47B05" w:rsidRPr="00F15429" w:rsidSect="004407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F688" w14:textId="77777777" w:rsidR="00DA5040" w:rsidRDefault="00DA5040" w:rsidP="00BD24B4">
      <w:r>
        <w:separator/>
      </w:r>
    </w:p>
  </w:endnote>
  <w:endnote w:type="continuationSeparator" w:id="0">
    <w:p w14:paraId="13EBDC9F" w14:textId="77777777" w:rsidR="00DA5040" w:rsidRDefault="00DA5040" w:rsidP="00B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046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F2446" w14:textId="16271C6F" w:rsidR="00FF682E" w:rsidRPr="00FF682E" w:rsidRDefault="00FF682E">
            <w:pPr>
              <w:pStyle w:val="Footer"/>
              <w:jc w:val="center"/>
            </w:pPr>
            <w:r w:rsidRPr="00FF682E">
              <w:t xml:space="preserve">Page </w:t>
            </w:r>
            <w:r w:rsidRPr="00FF682E">
              <w:fldChar w:fldCharType="begin"/>
            </w:r>
            <w:r w:rsidRPr="00FF682E">
              <w:instrText xml:space="preserve"> PAGE </w:instrText>
            </w:r>
            <w:r w:rsidRPr="00FF682E">
              <w:fldChar w:fldCharType="separate"/>
            </w:r>
            <w:r w:rsidRPr="00FF682E">
              <w:rPr>
                <w:noProof/>
              </w:rPr>
              <w:t>2</w:t>
            </w:r>
            <w:r w:rsidRPr="00FF682E">
              <w:fldChar w:fldCharType="end"/>
            </w:r>
            <w:r w:rsidRPr="00FF682E">
              <w:t xml:space="preserve"> of </w:t>
            </w:r>
            <w:r w:rsidR="009F7089">
              <w:fldChar w:fldCharType="begin"/>
            </w:r>
            <w:r w:rsidR="009F7089">
              <w:instrText xml:space="preserve"> NUMPAGES  </w:instrText>
            </w:r>
            <w:r w:rsidR="009F7089">
              <w:fldChar w:fldCharType="separate"/>
            </w:r>
            <w:r w:rsidRPr="00FF682E">
              <w:rPr>
                <w:noProof/>
              </w:rPr>
              <w:t>2</w:t>
            </w:r>
            <w:r w:rsidR="009F7089">
              <w:rPr>
                <w:noProof/>
              </w:rPr>
              <w:fldChar w:fldCharType="end"/>
            </w:r>
          </w:p>
        </w:sdtContent>
      </w:sdt>
    </w:sdtContent>
  </w:sdt>
  <w:p w14:paraId="45F7352C" w14:textId="77777777" w:rsidR="00FF682E" w:rsidRDefault="00FF6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655A" w14:textId="77777777" w:rsidR="00D0313C" w:rsidRDefault="00D0313C" w:rsidP="00BD2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42349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E1CCC4" w14:textId="0349FB72" w:rsidR="00440776" w:rsidRDefault="00440776" w:rsidP="00440776">
            <w:pPr>
              <w:pStyle w:val="Footer"/>
              <w:jc w:val="center"/>
            </w:pPr>
            <w:r w:rsidRPr="00440776">
              <w:rPr>
                <w:sz w:val="20"/>
                <w:szCs w:val="20"/>
              </w:rPr>
              <w:t xml:space="preserve">Page </w:t>
            </w:r>
            <w:r w:rsidRPr="00440776">
              <w:rPr>
                <w:sz w:val="20"/>
                <w:szCs w:val="20"/>
              </w:rPr>
              <w:fldChar w:fldCharType="begin"/>
            </w:r>
            <w:r w:rsidRPr="00440776">
              <w:rPr>
                <w:sz w:val="20"/>
                <w:szCs w:val="20"/>
              </w:rPr>
              <w:instrText xml:space="preserve"> PAGE </w:instrText>
            </w:r>
            <w:r w:rsidRPr="00440776">
              <w:rPr>
                <w:sz w:val="20"/>
                <w:szCs w:val="20"/>
              </w:rPr>
              <w:fldChar w:fldCharType="separate"/>
            </w:r>
            <w:r w:rsidRPr="00440776">
              <w:rPr>
                <w:noProof/>
                <w:sz w:val="20"/>
                <w:szCs w:val="20"/>
              </w:rPr>
              <w:t>2</w:t>
            </w:r>
            <w:r w:rsidRPr="00440776">
              <w:rPr>
                <w:sz w:val="20"/>
                <w:szCs w:val="20"/>
              </w:rPr>
              <w:fldChar w:fldCharType="end"/>
            </w:r>
            <w:r w:rsidRPr="00440776">
              <w:rPr>
                <w:sz w:val="20"/>
                <w:szCs w:val="20"/>
              </w:rPr>
              <w:t xml:space="preserve"> of </w:t>
            </w:r>
            <w:r w:rsidRPr="00440776">
              <w:rPr>
                <w:sz w:val="20"/>
                <w:szCs w:val="20"/>
              </w:rPr>
              <w:fldChar w:fldCharType="begin"/>
            </w:r>
            <w:r w:rsidRPr="00440776">
              <w:rPr>
                <w:sz w:val="20"/>
                <w:szCs w:val="20"/>
              </w:rPr>
              <w:instrText xml:space="preserve"> NUMPAGES  </w:instrText>
            </w:r>
            <w:r w:rsidRPr="00440776">
              <w:rPr>
                <w:sz w:val="20"/>
                <w:szCs w:val="20"/>
              </w:rPr>
              <w:fldChar w:fldCharType="separate"/>
            </w:r>
            <w:r w:rsidRPr="00440776">
              <w:rPr>
                <w:noProof/>
                <w:sz w:val="20"/>
                <w:szCs w:val="20"/>
              </w:rPr>
              <w:t>2</w:t>
            </w:r>
            <w:r w:rsidRPr="0044077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CEE038A" w14:textId="77777777" w:rsidR="00D0313C" w:rsidRDefault="00D0313C" w:rsidP="00BD2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ABEF" w14:textId="77777777" w:rsidR="008D3BF8" w:rsidRDefault="008D3BF8" w:rsidP="00BD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A700" w14:textId="77777777" w:rsidR="00DA5040" w:rsidRDefault="00DA5040" w:rsidP="00BD24B4">
      <w:r>
        <w:separator/>
      </w:r>
    </w:p>
  </w:footnote>
  <w:footnote w:type="continuationSeparator" w:id="0">
    <w:p w14:paraId="5BE3625C" w14:textId="77777777" w:rsidR="00DA5040" w:rsidRDefault="00DA5040" w:rsidP="00BD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38014" w14:textId="77777777" w:rsidR="00FF682E" w:rsidRPr="009E6494" w:rsidRDefault="00FF682E" w:rsidP="00FF682E">
    <w:pPr>
      <w:pStyle w:val="Header"/>
      <w:spacing w:after="160"/>
      <w:jc w:val="center"/>
      <w:rPr>
        <w:b/>
        <w:bCs/>
        <w:sz w:val="40"/>
        <w:szCs w:val="40"/>
      </w:rPr>
    </w:pPr>
    <w:r w:rsidRPr="009E6494">
      <w:rPr>
        <w:b/>
        <w:bCs/>
        <w:sz w:val="40"/>
        <w:szCs w:val="40"/>
      </w:rPr>
      <w:t>Rehabilitation Services Policy Manual</w:t>
    </w:r>
  </w:p>
  <w:tbl>
    <w:tblPr>
      <w:tblW w:w="0" w:type="auto"/>
      <w:tblLook w:val="04A0" w:firstRow="1" w:lastRow="0" w:firstColumn="1" w:lastColumn="0" w:noHBand="0" w:noVBand="1"/>
    </w:tblPr>
    <w:tblGrid>
      <w:gridCol w:w="1534"/>
      <w:gridCol w:w="5956"/>
      <w:gridCol w:w="2308"/>
      <w:gridCol w:w="1002"/>
    </w:tblGrid>
    <w:tr w:rsidR="00FF682E" w14:paraId="5F06F676" w14:textId="77777777" w:rsidTr="00322776">
      <w:trPr>
        <w:trHeight w:hRule="exact" w:val="259"/>
      </w:trPr>
      <w:tc>
        <w:tcPr>
          <w:tcW w:w="1548" w:type="dxa"/>
          <w:shd w:val="clear" w:color="auto" w:fill="auto"/>
        </w:tcPr>
        <w:p w14:paraId="1605501E" w14:textId="77777777" w:rsidR="00FF682E" w:rsidRPr="005F65EC" w:rsidRDefault="00FF682E" w:rsidP="00FF682E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SECTION</w:t>
          </w:r>
        </w:p>
      </w:tc>
      <w:tc>
        <w:tcPr>
          <w:tcW w:w="6120" w:type="dxa"/>
          <w:shd w:val="clear" w:color="auto" w:fill="auto"/>
        </w:tcPr>
        <w:p w14:paraId="64DF41FF" w14:textId="213CEF98" w:rsidR="00FF682E" w:rsidRPr="005F65EC" w:rsidRDefault="00FF682E" w:rsidP="00FF682E">
          <w:pPr>
            <w:pStyle w:val="Header"/>
            <w:rPr>
              <w:sz w:val="20"/>
              <w:szCs w:val="22"/>
            </w:rPr>
          </w:pPr>
          <w:r>
            <w:rPr>
              <w:sz w:val="20"/>
              <w:szCs w:val="22"/>
            </w:rPr>
            <w:t>Medical Services</w:t>
          </w:r>
        </w:p>
      </w:tc>
      <w:tc>
        <w:tcPr>
          <w:tcW w:w="2340" w:type="dxa"/>
          <w:shd w:val="clear" w:color="auto" w:fill="auto"/>
        </w:tcPr>
        <w:p w14:paraId="63F3CF31" w14:textId="77777777" w:rsidR="00FF682E" w:rsidRPr="005F65EC" w:rsidRDefault="00FF682E" w:rsidP="00FF682E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SECTION NO.</w:t>
          </w:r>
        </w:p>
      </w:tc>
      <w:tc>
        <w:tcPr>
          <w:tcW w:w="1008" w:type="dxa"/>
          <w:shd w:val="clear" w:color="auto" w:fill="auto"/>
        </w:tcPr>
        <w:p w14:paraId="1B6078CC" w14:textId="361C2A80" w:rsidR="00FF682E" w:rsidRPr="00F15429" w:rsidRDefault="00FF682E" w:rsidP="00FF682E">
          <w:pPr>
            <w:pStyle w:val="Header"/>
          </w:pPr>
          <w:r>
            <w:t>4</w:t>
          </w:r>
          <w:r w:rsidRPr="00F15429">
            <w:t>-1</w:t>
          </w:r>
          <w:r>
            <w:t>1</w:t>
          </w:r>
        </w:p>
      </w:tc>
    </w:tr>
    <w:tr w:rsidR="00FF682E" w14:paraId="780405CF" w14:textId="77777777" w:rsidTr="00322776">
      <w:trPr>
        <w:trHeight w:hRule="exact" w:val="259"/>
      </w:trPr>
      <w:tc>
        <w:tcPr>
          <w:tcW w:w="1548" w:type="dxa"/>
          <w:shd w:val="clear" w:color="auto" w:fill="auto"/>
        </w:tcPr>
        <w:p w14:paraId="2929EA3B" w14:textId="77777777" w:rsidR="00FF682E" w:rsidRPr="005F65EC" w:rsidRDefault="00FF682E" w:rsidP="00FF682E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PART</w:t>
          </w:r>
        </w:p>
      </w:tc>
      <w:tc>
        <w:tcPr>
          <w:tcW w:w="6120" w:type="dxa"/>
          <w:shd w:val="clear" w:color="auto" w:fill="auto"/>
          <w:vAlign w:val="center"/>
        </w:tcPr>
        <w:p w14:paraId="480B9959" w14:textId="32448DF0" w:rsidR="00FF682E" w:rsidRPr="005F65EC" w:rsidRDefault="00FF682E" w:rsidP="00FF682E">
          <w:pPr>
            <w:pStyle w:val="Header"/>
            <w:rPr>
              <w:sz w:val="20"/>
              <w:szCs w:val="22"/>
            </w:rPr>
          </w:pPr>
          <w:r>
            <w:rPr>
              <w:sz w:val="20"/>
              <w:szCs w:val="22"/>
            </w:rPr>
            <w:t>Surgery</w:t>
          </w:r>
        </w:p>
      </w:tc>
      <w:tc>
        <w:tcPr>
          <w:tcW w:w="2340" w:type="dxa"/>
          <w:shd w:val="clear" w:color="auto" w:fill="auto"/>
        </w:tcPr>
        <w:p w14:paraId="0006C2DA" w14:textId="77777777" w:rsidR="00FF682E" w:rsidRPr="005F65EC" w:rsidRDefault="00FF682E" w:rsidP="00FF682E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PUBLISHED</w:t>
          </w:r>
        </w:p>
      </w:tc>
      <w:tc>
        <w:tcPr>
          <w:tcW w:w="1008" w:type="dxa"/>
          <w:shd w:val="clear" w:color="auto" w:fill="auto"/>
        </w:tcPr>
        <w:p w14:paraId="1E6DDEAB" w14:textId="77777777" w:rsidR="00FF682E" w:rsidRPr="00F15429" w:rsidRDefault="00FF682E" w:rsidP="00FF682E">
          <w:pPr>
            <w:pStyle w:val="Header"/>
          </w:pPr>
          <w:r w:rsidRPr="00F15429">
            <w:t>03/21</w:t>
          </w:r>
        </w:p>
      </w:tc>
    </w:tr>
  </w:tbl>
  <w:p w14:paraId="6DBC1970" w14:textId="77777777" w:rsidR="00FF682E" w:rsidRDefault="00FF6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258E" w14:textId="77777777" w:rsidR="008D3BF8" w:rsidRDefault="008D3BF8" w:rsidP="00BD2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884A" w14:textId="77777777" w:rsidR="008D3BF8" w:rsidRPr="009E6494" w:rsidRDefault="008D3BF8" w:rsidP="00BD24B4">
    <w:pPr>
      <w:pStyle w:val="Header"/>
      <w:spacing w:after="160"/>
      <w:jc w:val="center"/>
      <w:rPr>
        <w:b/>
        <w:bCs/>
        <w:sz w:val="40"/>
        <w:szCs w:val="40"/>
      </w:rPr>
    </w:pPr>
    <w:r w:rsidRPr="009E6494">
      <w:rPr>
        <w:b/>
        <w:bCs/>
        <w:sz w:val="40"/>
        <w:szCs w:val="40"/>
      </w:rPr>
      <w:t>Rehabilitation Services Policy Manual</w:t>
    </w:r>
  </w:p>
  <w:tbl>
    <w:tblPr>
      <w:tblW w:w="0" w:type="auto"/>
      <w:tblLook w:val="04A0" w:firstRow="1" w:lastRow="0" w:firstColumn="1" w:lastColumn="0" w:noHBand="0" w:noVBand="1"/>
    </w:tblPr>
    <w:tblGrid>
      <w:gridCol w:w="1533"/>
      <w:gridCol w:w="5958"/>
      <w:gridCol w:w="2307"/>
      <w:gridCol w:w="1002"/>
    </w:tblGrid>
    <w:tr w:rsidR="00036545" w14:paraId="13706067" w14:textId="77777777" w:rsidTr="009F34A0">
      <w:trPr>
        <w:trHeight w:hRule="exact" w:val="259"/>
      </w:trPr>
      <w:tc>
        <w:tcPr>
          <w:tcW w:w="1548" w:type="dxa"/>
          <w:shd w:val="clear" w:color="auto" w:fill="auto"/>
        </w:tcPr>
        <w:p w14:paraId="11B25CEC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SECTION</w:t>
          </w:r>
        </w:p>
      </w:tc>
      <w:tc>
        <w:tcPr>
          <w:tcW w:w="6120" w:type="dxa"/>
          <w:shd w:val="clear" w:color="auto" w:fill="auto"/>
        </w:tcPr>
        <w:p w14:paraId="02A37BA4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Applications and Eligibility</w:t>
          </w:r>
        </w:p>
      </w:tc>
      <w:tc>
        <w:tcPr>
          <w:tcW w:w="2340" w:type="dxa"/>
          <w:shd w:val="clear" w:color="auto" w:fill="auto"/>
        </w:tcPr>
        <w:p w14:paraId="54CAF501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SECTION NO.</w:t>
          </w:r>
        </w:p>
      </w:tc>
      <w:tc>
        <w:tcPr>
          <w:tcW w:w="1008" w:type="dxa"/>
          <w:shd w:val="clear" w:color="auto" w:fill="auto"/>
        </w:tcPr>
        <w:p w14:paraId="09260A93" w14:textId="2115E74E" w:rsidR="00036545" w:rsidRPr="00F15429" w:rsidRDefault="00036545" w:rsidP="00BD24B4">
          <w:pPr>
            <w:pStyle w:val="Header"/>
          </w:pPr>
          <w:r w:rsidRPr="00F15429">
            <w:t>2-</w:t>
          </w:r>
          <w:r w:rsidR="00A56988">
            <w:t>2</w:t>
          </w:r>
        </w:p>
      </w:tc>
    </w:tr>
    <w:tr w:rsidR="00036545" w14:paraId="6D4E55C7" w14:textId="77777777" w:rsidTr="009F34A0">
      <w:trPr>
        <w:trHeight w:hRule="exact" w:val="259"/>
      </w:trPr>
      <w:tc>
        <w:tcPr>
          <w:tcW w:w="1548" w:type="dxa"/>
          <w:shd w:val="clear" w:color="auto" w:fill="auto"/>
        </w:tcPr>
        <w:p w14:paraId="592F0F55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PART</w:t>
          </w:r>
        </w:p>
      </w:tc>
      <w:tc>
        <w:tcPr>
          <w:tcW w:w="6120" w:type="dxa"/>
          <w:shd w:val="clear" w:color="auto" w:fill="auto"/>
          <w:vAlign w:val="center"/>
        </w:tcPr>
        <w:p w14:paraId="7D6C0764" w14:textId="7C7FEBEB" w:rsidR="00036545" w:rsidRPr="005F65EC" w:rsidRDefault="00740CD4" w:rsidP="00BD24B4">
          <w:pPr>
            <w:pStyle w:val="Header"/>
            <w:rPr>
              <w:sz w:val="20"/>
              <w:szCs w:val="22"/>
            </w:rPr>
          </w:pPr>
          <w:r>
            <w:rPr>
              <w:sz w:val="20"/>
              <w:szCs w:val="22"/>
            </w:rPr>
            <w:t>Eligibility</w:t>
          </w:r>
        </w:p>
      </w:tc>
      <w:tc>
        <w:tcPr>
          <w:tcW w:w="2340" w:type="dxa"/>
          <w:shd w:val="clear" w:color="auto" w:fill="auto"/>
        </w:tcPr>
        <w:p w14:paraId="34648D87" w14:textId="77777777" w:rsidR="00036545" w:rsidRPr="005F65EC" w:rsidRDefault="00036545" w:rsidP="00BD24B4">
          <w:pPr>
            <w:pStyle w:val="Header"/>
            <w:rPr>
              <w:sz w:val="20"/>
              <w:szCs w:val="22"/>
            </w:rPr>
          </w:pPr>
          <w:r w:rsidRPr="005F65EC">
            <w:rPr>
              <w:sz w:val="20"/>
              <w:szCs w:val="22"/>
            </w:rPr>
            <w:t>PUBLISHED</w:t>
          </w:r>
        </w:p>
      </w:tc>
      <w:tc>
        <w:tcPr>
          <w:tcW w:w="1008" w:type="dxa"/>
          <w:shd w:val="clear" w:color="auto" w:fill="auto"/>
        </w:tcPr>
        <w:p w14:paraId="109633CF" w14:textId="77777777" w:rsidR="00036545" w:rsidRPr="00F15429" w:rsidRDefault="00036545" w:rsidP="00BD24B4">
          <w:pPr>
            <w:pStyle w:val="Header"/>
          </w:pPr>
          <w:r w:rsidRPr="00F15429">
            <w:t>03/21</w:t>
          </w:r>
        </w:p>
      </w:tc>
    </w:tr>
  </w:tbl>
  <w:p w14:paraId="713D9B5E" w14:textId="77777777" w:rsidR="008D3BF8" w:rsidRDefault="008D3BF8" w:rsidP="00BD24B4">
    <w:pPr>
      <w:pStyle w:val="Header"/>
    </w:pPr>
  </w:p>
  <w:p w14:paraId="637E4A86" w14:textId="77777777" w:rsidR="00253C75" w:rsidRPr="00253C75" w:rsidRDefault="00253C75" w:rsidP="00BD24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9AB3" w14:textId="77777777" w:rsidR="00EE5D85" w:rsidRDefault="00EE5D85" w:rsidP="00BD24B4">
    <w:pPr>
      <w:pStyle w:val="Header"/>
    </w:pPr>
    <w:r w:rsidRPr="00903193">
      <w:t>Rehabilitation</w:t>
    </w:r>
    <w:r>
      <w:t xml:space="preserve"> Services </w:t>
    </w:r>
    <w:r w:rsidRPr="00903193">
      <w:t xml:space="preserve">Policy Manual </w:t>
    </w:r>
    <w:r>
      <w:t xml:space="preserve">                   </w:t>
    </w:r>
  </w:p>
  <w:p w14:paraId="72C47820" w14:textId="77777777" w:rsidR="00EE5D85" w:rsidRDefault="00EE5D85" w:rsidP="00BD24B4">
    <w:pPr>
      <w:pStyle w:val="Header"/>
    </w:pPr>
    <w:r>
      <w:t>Index</w:t>
    </w:r>
  </w:p>
  <w:p w14:paraId="76415F2E" w14:textId="77777777" w:rsidR="00EE5D85" w:rsidRDefault="00EE5D85" w:rsidP="00BD24B4">
    <w:pPr>
      <w:pStyle w:val="Header"/>
    </w:pPr>
  </w:p>
  <w:p w14:paraId="44ED55C8" w14:textId="77777777" w:rsidR="00EE5D85" w:rsidRDefault="00EE5D85" w:rsidP="00BD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086"/>
    <w:multiLevelType w:val="hybridMultilevel"/>
    <w:tmpl w:val="7DAE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86F"/>
    <w:multiLevelType w:val="multilevel"/>
    <w:tmpl w:val="126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7499"/>
    <w:multiLevelType w:val="hybridMultilevel"/>
    <w:tmpl w:val="CB7E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ECB"/>
    <w:multiLevelType w:val="hybridMultilevel"/>
    <w:tmpl w:val="AA4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671"/>
    <w:multiLevelType w:val="hybridMultilevel"/>
    <w:tmpl w:val="3CF0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255F"/>
    <w:multiLevelType w:val="hybridMultilevel"/>
    <w:tmpl w:val="D6BA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15C6"/>
    <w:multiLevelType w:val="multilevel"/>
    <w:tmpl w:val="F28A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B3FC8"/>
    <w:multiLevelType w:val="hybridMultilevel"/>
    <w:tmpl w:val="960E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8D7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0035"/>
    <w:multiLevelType w:val="hybridMultilevel"/>
    <w:tmpl w:val="49A2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2C2B"/>
    <w:multiLevelType w:val="hybridMultilevel"/>
    <w:tmpl w:val="66B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D4E60"/>
    <w:multiLevelType w:val="hybridMultilevel"/>
    <w:tmpl w:val="F756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4B3"/>
    <w:multiLevelType w:val="hybridMultilevel"/>
    <w:tmpl w:val="4D66A0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C16140"/>
    <w:multiLevelType w:val="hybridMultilevel"/>
    <w:tmpl w:val="3B64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922CC"/>
    <w:multiLevelType w:val="hybridMultilevel"/>
    <w:tmpl w:val="2562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B58DC"/>
    <w:multiLevelType w:val="hybridMultilevel"/>
    <w:tmpl w:val="647C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02D8F"/>
    <w:multiLevelType w:val="hybridMultilevel"/>
    <w:tmpl w:val="E43C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C787C"/>
    <w:multiLevelType w:val="hybridMultilevel"/>
    <w:tmpl w:val="E770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7C11"/>
    <w:multiLevelType w:val="hybridMultilevel"/>
    <w:tmpl w:val="B384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772F5"/>
    <w:multiLevelType w:val="hybridMultilevel"/>
    <w:tmpl w:val="C1CA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D70DC"/>
    <w:multiLevelType w:val="hybridMultilevel"/>
    <w:tmpl w:val="F96EA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0717"/>
    <w:multiLevelType w:val="hybridMultilevel"/>
    <w:tmpl w:val="568C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00BD2"/>
    <w:multiLevelType w:val="hybridMultilevel"/>
    <w:tmpl w:val="5A1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8036B"/>
    <w:multiLevelType w:val="hybridMultilevel"/>
    <w:tmpl w:val="812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C4452"/>
    <w:multiLevelType w:val="hybridMultilevel"/>
    <w:tmpl w:val="A19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18"/>
  </w:num>
  <w:num w:numId="8">
    <w:abstractNumId w:val="17"/>
  </w:num>
  <w:num w:numId="9">
    <w:abstractNumId w:val="19"/>
  </w:num>
  <w:num w:numId="10">
    <w:abstractNumId w:val="12"/>
  </w:num>
  <w:num w:numId="11">
    <w:abstractNumId w:val="22"/>
  </w:num>
  <w:num w:numId="12">
    <w:abstractNumId w:val="23"/>
  </w:num>
  <w:num w:numId="13">
    <w:abstractNumId w:val="21"/>
  </w:num>
  <w:num w:numId="14">
    <w:abstractNumId w:val="3"/>
  </w:num>
  <w:num w:numId="15">
    <w:abstractNumId w:val="20"/>
  </w:num>
  <w:num w:numId="16">
    <w:abstractNumId w:val="4"/>
  </w:num>
  <w:num w:numId="17">
    <w:abstractNumId w:val="14"/>
  </w:num>
  <w:num w:numId="18">
    <w:abstractNumId w:val="9"/>
  </w:num>
  <w:num w:numId="19">
    <w:abstractNumId w:val="5"/>
  </w:num>
  <w:num w:numId="20">
    <w:abstractNumId w:val="15"/>
  </w:num>
  <w:num w:numId="21">
    <w:abstractNumId w:val="10"/>
  </w:num>
  <w:num w:numId="22">
    <w:abstractNumId w:val="13"/>
  </w:num>
  <w:num w:numId="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32"/>
    <w:rsid w:val="00011B1F"/>
    <w:rsid w:val="00021C3D"/>
    <w:rsid w:val="00036545"/>
    <w:rsid w:val="00047C10"/>
    <w:rsid w:val="00055F50"/>
    <w:rsid w:val="00073F95"/>
    <w:rsid w:val="0007611D"/>
    <w:rsid w:val="00080DE7"/>
    <w:rsid w:val="00086919"/>
    <w:rsid w:val="000A606D"/>
    <w:rsid w:val="000B6BDD"/>
    <w:rsid w:val="000B7594"/>
    <w:rsid w:val="000C7735"/>
    <w:rsid w:val="000D64DB"/>
    <w:rsid w:val="000E2B0F"/>
    <w:rsid w:val="000E3D0A"/>
    <w:rsid w:val="000F575D"/>
    <w:rsid w:val="0011150A"/>
    <w:rsid w:val="001118FB"/>
    <w:rsid w:val="00114F5F"/>
    <w:rsid w:val="0012515D"/>
    <w:rsid w:val="00127833"/>
    <w:rsid w:val="001319F9"/>
    <w:rsid w:val="00147D55"/>
    <w:rsid w:val="0015322B"/>
    <w:rsid w:val="0016193E"/>
    <w:rsid w:val="00163F49"/>
    <w:rsid w:val="0016632E"/>
    <w:rsid w:val="001667F7"/>
    <w:rsid w:val="00194D7A"/>
    <w:rsid w:val="00194EB1"/>
    <w:rsid w:val="001D2532"/>
    <w:rsid w:val="001D6389"/>
    <w:rsid w:val="001D63C3"/>
    <w:rsid w:val="001D6DD1"/>
    <w:rsid w:val="001E198D"/>
    <w:rsid w:val="001E4494"/>
    <w:rsid w:val="001F7C23"/>
    <w:rsid w:val="002103EA"/>
    <w:rsid w:val="00211029"/>
    <w:rsid w:val="00214274"/>
    <w:rsid w:val="00227A05"/>
    <w:rsid w:val="00233BE5"/>
    <w:rsid w:val="002441A5"/>
    <w:rsid w:val="00244D77"/>
    <w:rsid w:val="00250224"/>
    <w:rsid w:val="00253C75"/>
    <w:rsid w:val="00277990"/>
    <w:rsid w:val="00293FD0"/>
    <w:rsid w:val="00295948"/>
    <w:rsid w:val="002B0C02"/>
    <w:rsid w:val="002B6F28"/>
    <w:rsid w:val="002C4AB5"/>
    <w:rsid w:val="002D04EB"/>
    <w:rsid w:val="002D7774"/>
    <w:rsid w:val="002E0165"/>
    <w:rsid w:val="002E7483"/>
    <w:rsid w:val="002F51A4"/>
    <w:rsid w:val="003026CC"/>
    <w:rsid w:val="00314193"/>
    <w:rsid w:val="0031587F"/>
    <w:rsid w:val="0034599F"/>
    <w:rsid w:val="00352F8D"/>
    <w:rsid w:val="00354AA2"/>
    <w:rsid w:val="003556A7"/>
    <w:rsid w:val="00372346"/>
    <w:rsid w:val="00373497"/>
    <w:rsid w:val="00373D4E"/>
    <w:rsid w:val="003811E3"/>
    <w:rsid w:val="00382667"/>
    <w:rsid w:val="00385BD4"/>
    <w:rsid w:val="00387CDE"/>
    <w:rsid w:val="00390CAF"/>
    <w:rsid w:val="003A3BB9"/>
    <w:rsid w:val="003E434C"/>
    <w:rsid w:val="003F1AB4"/>
    <w:rsid w:val="003F58D6"/>
    <w:rsid w:val="003F7A9A"/>
    <w:rsid w:val="00404F42"/>
    <w:rsid w:val="00406B1F"/>
    <w:rsid w:val="004106C3"/>
    <w:rsid w:val="00414EBC"/>
    <w:rsid w:val="00440776"/>
    <w:rsid w:val="00452856"/>
    <w:rsid w:val="00453C37"/>
    <w:rsid w:val="004575B8"/>
    <w:rsid w:val="00464E16"/>
    <w:rsid w:val="004676A9"/>
    <w:rsid w:val="004800B4"/>
    <w:rsid w:val="00495FEA"/>
    <w:rsid w:val="004C08C5"/>
    <w:rsid w:val="004C4742"/>
    <w:rsid w:val="004D694D"/>
    <w:rsid w:val="004E03EC"/>
    <w:rsid w:val="004E09BE"/>
    <w:rsid w:val="004F5587"/>
    <w:rsid w:val="004F561F"/>
    <w:rsid w:val="004F7889"/>
    <w:rsid w:val="00513B29"/>
    <w:rsid w:val="005159B2"/>
    <w:rsid w:val="005239EE"/>
    <w:rsid w:val="00525E77"/>
    <w:rsid w:val="005317BD"/>
    <w:rsid w:val="00541693"/>
    <w:rsid w:val="00554281"/>
    <w:rsid w:val="0055709B"/>
    <w:rsid w:val="00561455"/>
    <w:rsid w:val="005676E0"/>
    <w:rsid w:val="00567B17"/>
    <w:rsid w:val="005745FA"/>
    <w:rsid w:val="00580236"/>
    <w:rsid w:val="00582B8E"/>
    <w:rsid w:val="005A2D67"/>
    <w:rsid w:val="005B03C8"/>
    <w:rsid w:val="005B0417"/>
    <w:rsid w:val="005B29DD"/>
    <w:rsid w:val="005B3E77"/>
    <w:rsid w:val="005C070A"/>
    <w:rsid w:val="005C0AC4"/>
    <w:rsid w:val="005C44EA"/>
    <w:rsid w:val="005C510D"/>
    <w:rsid w:val="005C5689"/>
    <w:rsid w:val="005D0854"/>
    <w:rsid w:val="005D2CA6"/>
    <w:rsid w:val="005D448D"/>
    <w:rsid w:val="005F65EC"/>
    <w:rsid w:val="005F754A"/>
    <w:rsid w:val="006101E3"/>
    <w:rsid w:val="00623D71"/>
    <w:rsid w:val="006301BB"/>
    <w:rsid w:val="00640871"/>
    <w:rsid w:val="00643BFA"/>
    <w:rsid w:val="00646067"/>
    <w:rsid w:val="00661EB6"/>
    <w:rsid w:val="00667D3D"/>
    <w:rsid w:val="006739A9"/>
    <w:rsid w:val="00681D45"/>
    <w:rsid w:val="00686BFB"/>
    <w:rsid w:val="006919A1"/>
    <w:rsid w:val="006C0316"/>
    <w:rsid w:val="006C2DC4"/>
    <w:rsid w:val="006C4B5C"/>
    <w:rsid w:val="006D0022"/>
    <w:rsid w:val="006E4397"/>
    <w:rsid w:val="006F6487"/>
    <w:rsid w:val="007130E8"/>
    <w:rsid w:val="00726A5C"/>
    <w:rsid w:val="00732F5B"/>
    <w:rsid w:val="00740CD4"/>
    <w:rsid w:val="00742EC7"/>
    <w:rsid w:val="00744821"/>
    <w:rsid w:val="00764BE4"/>
    <w:rsid w:val="00776C3B"/>
    <w:rsid w:val="00786BEB"/>
    <w:rsid w:val="007A112D"/>
    <w:rsid w:val="007A44EA"/>
    <w:rsid w:val="007C34C1"/>
    <w:rsid w:val="007D1C49"/>
    <w:rsid w:val="007E64A6"/>
    <w:rsid w:val="007F3580"/>
    <w:rsid w:val="007F361F"/>
    <w:rsid w:val="00800D2C"/>
    <w:rsid w:val="00800DD2"/>
    <w:rsid w:val="008042A0"/>
    <w:rsid w:val="008814FF"/>
    <w:rsid w:val="008A11E4"/>
    <w:rsid w:val="008A2C15"/>
    <w:rsid w:val="008A468F"/>
    <w:rsid w:val="008A76D1"/>
    <w:rsid w:val="008C0967"/>
    <w:rsid w:val="008D2D6B"/>
    <w:rsid w:val="008D3A16"/>
    <w:rsid w:val="008D3BF8"/>
    <w:rsid w:val="008D42EC"/>
    <w:rsid w:val="008E2E98"/>
    <w:rsid w:val="00903193"/>
    <w:rsid w:val="009204EB"/>
    <w:rsid w:val="00927291"/>
    <w:rsid w:val="00932963"/>
    <w:rsid w:val="00945DE5"/>
    <w:rsid w:val="0095396B"/>
    <w:rsid w:val="009643CE"/>
    <w:rsid w:val="00966C7D"/>
    <w:rsid w:val="00967194"/>
    <w:rsid w:val="00980341"/>
    <w:rsid w:val="00983D37"/>
    <w:rsid w:val="00990479"/>
    <w:rsid w:val="00996604"/>
    <w:rsid w:val="009A5BAC"/>
    <w:rsid w:val="009B2347"/>
    <w:rsid w:val="009B268A"/>
    <w:rsid w:val="009B5FAD"/>
    <w:rsid w:val="009D6BAB"/>
    <w:rsid w:val="009E49CF"/>
    <w:rsid w:val="009E6494"/>
    <w:rsid w:val="009F147D"/>
    <w:rsid w:val="009F34A0"/>
    <w:rsid w:val="009F594B"/>
    <w:rsid w:val="009F7089"/>
    <w:rsid w:val="00A00A35"/>
    <w:rsid w:val="00A0191D"/>
    <w:rsid w:val="00A0246A"/>
    <w:rsid w:val="00A06DD8"/>
    <w:rsid w:val="00A163E5"/>
    <w:rsid w:val="00A17EA7"/>
    <w:rsid w:val="00A327CD"/>
    <w:rsid w:val="00A4045A"/>
    <w:rsid w:val="00A407D2"/>
    <w:rsid w:val="00A51513"/>
    <w:rsid w:val="00A51849"/>
    <w:rsid w:val="00A51B8E"/>
    <w:rsid w:val="00A5490B"/>
    <w:rsid w:val="00A56988"/>
    <w:rsid w:val="00A60D0F"/>
    <w:rsid w:val="00A63C00"/>
    <w:rsid w:val="00A67DDE"/>
    <w:rsid w:val="00A8718E"/>
    <w:rsid w:val="00AA22DC"/>
    <w:rsid w:val="00AB05F4"/>
    <w:rsid w:val="00AB073B"/>
    <w:rsid w:val="00AB502F"/>
    <w:rsid w:val="00AD7449"/>
    <w:rsid w:val="00AD7560"/>
    <w:rsid w:val="00AE08A6"/>
    <w:rsid w:val="00AE20DC"/>
    <w:rsid w:val="00AF2BBE"/>
    <w:rsid w:val="00B01A97"/>
    <w:rsid w:val="00B05F5F"/>
    <w:rsid w:val="00B0770F"/>
    <w:rsid w:val="00B24223"/>
    <w:rsid w:val="00B24B0C"/>
    <w:rsid w:val="00B27800"/>
    <w:rsid w:val="00B27C0D"/>
    <w:rsid w:val="00B3105C"/>
    <w:rsid w:val="00B33AC8"/>
    <w:rsid w:val="00B351C6"/>
    <w:rsid w:val="00B371D1"/>
    <w:rsid w:val="00B4045B"/>
    <w:rsid w:val="00B5278E"/>
    <w:rsid w:val="00B5627E"/>
    <w:rsid w:val="00B71654"/>
    <w:rsid w:val="00B72A9E"/>
    <w:rsid w:val="00B72CD4"/>
    <w:rsid w:val="00B73AE3"/>
    <w:rsid w:val="00B73BA0"/>
    <w:rsid w:val="00B84A93"/>
    <w:rsid w:val="00B84C2B"/>
    <w:rsid w:val="00B87246"/>
    <w:rsid w:val="00B874A2"/>
    <w:rsid w:val="00B87AEF"/>
    <w:rsid w:val="00BA41BA"/>
    <w:rsid w:val="00BD24B4"/>
    <w:rsid w:val="00BE66D5"/>
    <w:rsid w:val="00BF0C7D"/>
    <w:rsid w:val="00BF44EC"/>
    <w:rsid w:val="00C04090"/>
    <w:rsid w:val="00C1062E"/>
    <w:rsid w:val="00C12659"/>
    <w:rsid w:val="00C26756"/>
    <w:rsid w:val="00C30B60"/>
    <w:rsid w:val="00C320AC"/>
    <w:rsid w:val="00C410C9"/>
    <w:rsid w:val="00C47F70"/>
    <w:rsid w:val="00C63F9F"/>
    <w:rsid w:val="00C74348"/>
    <w:rsid w:val="00C75D50"/>
    <w:rsid w:val="00C77403"/>
    <w:rsid w:val="00CA3DBC"/>
    <w:rsid w:val="00CB3949"/>
    <w:rsid w:val="00CC33E0"/>
    <w:rsid w:val="00CC61DF"/>
    <w:rsid w:val="00CD0B47"/>
    <w:rsid w:val="00CD34F6"/>
    <w:rsid w:val="00CD407E"/>
    <w:rsid w:val="00CE003E"/>
    <w:rsid w:val="00CE0C3A"/>
    <w:rsid w:val="00CE1B58"/>
    <w:rsid w:val="00CE3BA5"/>
    <w:rsid w:val="00CF145B"/>
    <w:rsid w:val="00CF545B"/>
    <w:rsid w:val="00CF7837"/>
    <w:rsid w:val="00D010B8"/>
    <w:rsid w:val="00D0313C"/>
    <w:rsid w:val="00D24AEF"/>
    <w:rsid w:val="00D30A01"/>
    <w:rsid w:val="00D311DB"/>
    <w:rsid w:val="00D327AC"/>
    <w:rsid w:val="00D43860"/>
    <w:rsid w:val="00D515E2"/>
    <w:rsid w:val="00D526EE"/>
    <w:rsid w:val="00D53535"/>
    <w:rsid w:val="00D56876"/>
    <w:rsid w:val="00D64653"/>
    <w:rsid w:val="00D66CA4"/>
    <w:rsid w:val="00D71911"/>
    <w:rsid w:val="00D8058C"/>
    <w:rsid w:val="00D84E80"/>
    <w:rsid w:val="00D84F30"/>
    <w:rsid w:val="00D8684A"/>
    <w:rsid w:val="00D96F3C"/>
    <w:rsid w:val="00DA5040"/>
    <w:rsid w:val="00DA5145"/>
    <w:rsid w:val="00DC0954"/>
    <w:rsid w:val="00DC28F1"/>
    <w:rsid w:val="00DC4604"/>
    <w:rsid w:val="00DC6D16"/>
    <w:rsid w:val="00DD2C22"/>
    <w:rsid w:val="00DD6EDF"/>
    <w:rsid w:val="00DE3124"/>
    <w:rsid w:val="00E12C50"/>
    <w:rsid w:val="00E210C1"/>
    <w:rsid w:val="00E242A3"/>
    <w:rsid w:val="00E33416"/>
    <w:rsid w:val="00E358CA"/>
    <w:rsid w:val="00E409A2"/>
    <w:rsid w:val="00E47B05"/>
    <w:rsid w:val="00E5399F"/>
    <w:rsid w:val="00E60949"/>
    <w:rsid w:val="00E60F28"/>
    <w:rsid w:val="00E6372C"/>
    <w:rsid w:val="00E85FCD"/>
    <w:rsid w:val="00E95E9F"/>
    <w:rsid w:val="00E97C6F"/>
    <w:rsid w:val="00EA166C"/>
    <w:rsid w:val="00EB2DC8"/>
    <w:rsid w:val="00EC0866"/>
    <w:rsid w:val="00EC60A9"/>
    <w:rsid w:val="00EC72F3"/>
    <w:rsid w:val="00EC7B97"/>
    <w:rsid w:val="00EE5D85"/>
    <w:rsid w:val="00EF26E1"/>
    <w:rsid w:val="00EF3871"/>
    <w:rsid w:val="00EF3DF5"/>
    <w:rsid w:val="00EF4E2A"/>
    <w:rsid w:val="00F0479C"/>
    <w:rsid w:val="00F15429"/>
    <w:rsid w:val="00F30528"/>
    <w:rsid w:val="00F51B35"/>
    <w:rsid w:val="00F53E30"/>
    <w:rsid w:val="00F64582"/>
    <w:rsid w:val="00F844EF"/>
    <w:rsid w:val="00F9011D"/>
    <w:rsid w:val="00F969F5"/>
    <w:rsid w:val="00F973AD"/>
    <w:rsid w:val="00FA08CA"/>
    <w:rsid w:val="00FA16F9"/>
    <w:rsid w:val="00FA36E7"/>
    <w:rsid w:val="00FA6ED2"/>
    <w:rsid w:val="00FB19EB"/>
    <w:rsid w:val="00FE4BBD"/>
    <w:rsid w:val="00FF2919"/>
    <w:rsid w:val="00FF54F8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ECAEBA0"/>
  <w15:chartTrackingRefBased/>
  <w15:docId w15:val="{383A849F-16C8-43EB-8B45-89729A76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B4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Heading4"/>
    <w:link w:val="Heading1Char"/>
    <w:uiPriority w:val="9"/>
    <w:qFormat/>
    <w:rsid w:val="00BD24B4"/>
    <w:pPr>
      <w:tabs>
        <w:tab w:val="left" w:pos="1440"/>
      </w:tabs>
      <w:ind w:left="1440" w:hanging="1440"/>
      <w:contextualSpacing/>
      <w:outlineLvl w:val="0"/>
    </w:pPr>
    <w:rPr>
      <w:color w:val="auto"/>
    </w:rPr>
  </w:style>
  <w:style w:type="paragraph" w:styleId="Heading2">
    <w:name w:val="heading 2"/>
    <w:basedOn w:val="Normal"/>
    <w:link w:val="Heading2Char"/>
    <w:uiPriority w:val="9"/>
    <w:qFormat/>
    <w:rsid w:val="00A56988"/>
    <w:pPr>
      <w:contextualSpacing/>
      <w:outlineLvl w:val="1"/>
    </w:pPr>
    <w:rPr>
      <w:b/>
      <w:bCs/>
      <w:sz w:val="26"/>
    </w:rPr>
  </w:style>
  <w:style w:type="paragraph" w:styleId="Heading3">
    <w:name w:val="heading 3"/>
    <w:basedOn w:val="Normal"/>
    <w:link w:val="Heading3Char"/>
    <w:uiPriority w:val="9"/>
    <w:qFormat/>
    <w:rsid w:val="00740CD4"/>
    <w:pPr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color w:val="D7556C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color w:val="88921D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color w:val="88921D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4B4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56988"/>
    <w:rPr>
      <w:rFonts w:ascii="Arial" w:hAnsi="Arial" w:cs="Arial"/>
      <w:b/>
      <w:bCs/>
      <w:sz w:val="26"/>
      <w:szCs w:val="24"/>
    </w:rPr>
  </w:style>
  <w:style w:type="character" w:customStyle="1" w:styleId="Heading3Char">
    <w:name w:val="Heading 3 Char"/>
    <w:link w:val="Heading3"/>
    <w:uiPriority w:val="9"/>
    <w:rsid w:val="00740CD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GlossaryHeading">
    <w:name w:val="Glossary Heading"/>
    <w:basedOn w:val="Normal"/>
    <w:next w:val="Normal"/>
    <w:pPr>
      <w:spacing w:before="320" w:after="60"/>
      <w:jc w:val="center"/>
    </w:pPr>
    <w:rPr>
      <w:b/>
      <w:sz w:val="32"/>
      <w:szCs w:val="32"/>
    </w:rPr>
  </w:style>
  <w:style w:type="paragraph" w:customStyle="1" w:styleId="TableofContentsPageTitle">
    <w:name w:val="Table of Contents Page 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customStyle="1" w:styleId="TitlePageTitle">
    <w:name w:val="Title Page Title"/>
    <w:basedOn w:val="Normal"/>
    <w:next w:val="Normal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customStyle="1" w:styleId="GlossaryDefinition">
    <w:name w:val="Glossary Definition"/>
    <w:basedOn w:val="Normal"/>
    <w:pPr>
      <w:spacing w:before="120" w:after="120"/>
      <w:ind w:left="720" w:hanging="720"/>
    </w:pPr>
  </w:style>
  <w:style w:type="character" w:customStyle="1" w:styleId="Glossaryterm">
    <w:name w:val="Glossary term"/>
    <w:rPr>
      <w:i/>
      <w:iCs/>
      <w:strike w:val="0"/>
      <w:dstrike w:val="0"/>
      <w:color w:val="800000"/>
      <w:u w:val="none"/>
      <w:effect w:val="none"/>
    </w:rPr>
  </w:style>
  <w:style w:type="character" w:customStyle="1" w:styleId="question">
    <w:name w:val="question"/>
    <w:rPr>
      <w:color w:val="D6546B"/>
    </w:rPr>
  </w:style>
  <w:style w:type="character" w:customStyle="1" w:styleId="GlossaryLabel">
    <w:name w:val="Glossary Label"/>
    <w:rPr>
      <w:b/>
      <w:bCs w:val="0"/>
    </w:rPr>
  </w:style>
  <w:style w:type="character" w:customStyle="1" w:styleId="Expandinghotspot">
    <w:name w:val="Expanding hotspot"/>
    <w:rPr>
      <w:i/>
      <w:iCs/>
      <w:strike w:val="0"/>
      <w:dstrike w:val="0"/>
      <w:color w:val="008000"/>
      <w:u w:val="none"/>
      <w:effect w:val="none"/>
    </w:rPr>
  </w:style>
  <w:style w:type="character" w:customStyle="1" w:styleId="Expandingtext">
    <w:name w:val="Expanding text"/>
    <w:rPr>
      <w:b w:val="0"/>
      <w:bCs w:val="0"/>
      <w:i/>
      <w:iCs/>
      <w:color w:val="FF0000"/>
    </w:rPr>
  </w:style>
  <w:style w:type="character" w:customStyle="1" w:styleId="answer">
    <w:name w:val="answer"/>
    <w:rPr>
      <w:color w:val="54499E"/>
    </w:rPr>
  </w:style>
  <w:style w:type="character" w:customStyle="1" w:styleId="Glossarytext">
    <w:name w:val="Glossary text"/>
    <w:rPr>
      <w:b w:val="0"/>
      <w:bCs w:val="0"/>
      <w:i/>
      <w:iCs/>
      <w:color w:val="0000FF"/>
    </w:rPr>
  </w:style>
  <w:style w:type="character" w:customStyle="1" w:styleId="Drop-downhotspot">
    <w:name w:val="Drop-down hotspot"/>
    <w:rPr>
      <w:i/>
      <w:iCs/>
      <w:strike w:val="0"/>
      <w:dstrike w:val="0"/>
      <w:color w:val="008000"/>
      <w:u w:val="none"/>
      <w:effect w:val="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D25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D2532"/>
    <w:rPr>
      <w:rFonts w:ascii="Verdana" w:eastAsia="Times New Roman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25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D2532"/>
    <w:rPr>
      <w:rFonts w:ascii="Verdana" w:eastAsia="Times New Roman" w:hAnsi="Verdana"/>
      <w:sz w:val="22"/>
      <w:szCs w:val="22"/>
    </w:rPr>
  </w:style>
  <w:style w:type="character" w:styleId="Hyperlink">
    <w:name w:val="Hyperlink"/>
    <w:uiPriority w:val="99"/>
    <w:unhideWhenUsed/>
    <w:rsid w:val="00E47B05"/>
    <w:rPr>
      <w:color w:val="0000FF"/>
      <w:u w:val="single"/>
    </w:rPr>
  </w:style>
  <w:style w:type="character" w:styleId="HTMLAcronym">
    <w:name w:val="HTML Acronym"/>
    <w:uiPriority w:val="99"/>
    <w:semiHidden/>
    <w:unhideWhenUsed/>
    <w:rsid w:val="00E47B05"/>
  </w:style>
  <w:style w:type="character" w:styleId="Strong">
    <w:name w:val="Strong"/>
    <w:uiPriority w:val="22"/>
    <w:qFormat/>
    <w:rsid w:val="00E47B05"/>
    <w:rPr>
      <w:b/>
      <w:bCs/>
    </w:rPr>
  </w:style>
  <w:style w:type="character" w:styleId="Emphasis">
    <w:name w:val="Emphasis"/>
    <w:uiPriority w:val="20"/>
    <w:qFormat/>
    <w:rsid w:val="00E47B05"/>
    <w:rPr>
      <w:i/>
      <w:iCs/>
    </w:rPr>
  </w:style>
  <w:style w:type="character" w:styleId="FollowedHyperlink">
    <w:name w:val="FollowedHyperlink"/>
    <w:uiPriority w:val="99"/>
    <w:semiHidden/>
    <w:unhideWhenUsed/>
    <w:rsid w:val="00E47B05"/>
    <w:rPr>
      <w:color w:val="8000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20AC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20AC"/>
    <w:rPr>
      <w:rFonts w:ascii="Cambria" w:hAnsi="Cambria" w:cs="Times New Roman"/>
      <w:b/>
      <w:b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320AC"/>
    <w:pPr>
      <w:ind w:left="44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253C75"/>
  </w:style>
  <w:style w:type="paragraph" w:styleId="TOC2">
    <w:name w:val="toc 2"/>
    <w:basedOn w:val="Normal"/>
    <w:next w:val="Normal"/>
    <w:autoRedefine/>
    <w:uiPriority w:val="39"/>
    <w:unhideWhenUsed/>
    <w:rsid w:val="008A2C15"/>
    <w:pPr>
      <w:tabs>
        <w:tab w:val="left" w:pos="720"/>
        <w:tab w:val="right" w:leader="dot" w:pos="9350"/>
      </w:tabs>
      <w:ind w:left="720" w:hanging="540"/>
    </w:pPr>
  </w:style>
  <w:style w:type="paragraph" w:styleId="TOC3">
    <w:name w:val="toc 3"/>
    <w:basedOn w:val="Normal"/>
    <w:next w:val="Normal"/>
    <w:autoRedefine/>
    <w:uiPriority w:val="39"/>
    <w:unhideWhenUsed/>
    <w:rsid w:val="00253C75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53C75"/>
    <w:pPr>
      <w:spacing w:after="100" w:line="276" w:lineRule="auto"/>
      <w:ind w:left="660"/>
    </w:pPr>
    <w:rPr>
      <w:rFonts w:ascii="Calibri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253C75"/>
    <w:pPr>
      <w:spacing w:after="100" w:line="276" w:lineRule="auto"/>
      <w:ind w:left="880"/>
    </w:pPr>
    <w:rPr>
      <w:rFonts w:ascii="Calibri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253C75"/>
    <w:pPr>
      <w:spacing w:after="100" w:line="276" w:lineRule="auto"/>
      <w:ind w:left="1100"/>
    </w:pPr>
    <w:rPr>
      <w:rFonts w:ascii="Calibri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253C75"/>
    <w:pPr>
      <w:spacing w:after="100" w:line="276" w:lineRule="auto"/>
      <w:ind w:left="1320"/>
    </w:pPr>
    <w:rPr>
      <w:rFonts w:ascii="Calibri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253C75"/>
    <w:pPr>
      <w:spacing w:after="100" w:line="276" w:lineRule="auto"/>
      <w:ind w:left="1540"/>
    </w:pPr>
    <w:rPr>
      <w:rFonts w:ascii="Calibri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253C75"/>
    <w:pPr>
      <w:spacing w:after="100" w:line="276" w:lineRule="auto"/>
      <w:ind w:left="176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963"/>
    <w:rPr>
      <w:rFonts w:ascii="Tahoma" w:hAnsi="Tahoma" w:cs="Tahoma"/>
      <w:sz w:val="16"/>
      <w:szCs w:val="16"/>
    </w:rPr>
  </w:style>
  <w:style w:type="character" w:styleId="PageNumber">
    <w:name w:val="page number"/>
    <w:rsid w:val="00927291"/>
  </w:style>
  <w:style w:type="paragraph" w:styleId="ListParagraph">
    <w:name w:val="List Paragraph"/>
    <w:basedOn w:val="Normal"/>
    <w:uiPriority w:val="34"/>
    <w:qFormat/>
    <w:rsid w:val="006101E3"/>
    <w:pPr>
      <w:spacing w:before="100" w:beforeAutospacing="1" w:after="100" w:afterAutospacing="1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84F30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03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9D7537-3AF6-4400-BC8C-92034B682EA7}"/>
</file>

<file path=customXml/itemProps2.xml><?xml version="1.0" encoding="utf-8"?>
<ds:datastoreItem xmlns:ds="http://schemas.openxmlformats.org/officeDocument/2006/customXml" ds:itemID="{033D0A1F-6289-4454-8BD9-79721802F112}"/>
</file>

<file path=customXml/itemProps3.xml><?xml version="1.0" encoding="utf-8"?>
<ds:datastoreItem xmlns:ds="http://schemas.openxmlformats.org/officeDocument/2006/customXml" ds:itemID="{6DD241D2-CD72-4BDB-B71B-CB5386F122D8}"/>
</file>

<file path=customXml/itemProps4.xml><?xml version="1.0" encoding="utf-8"?>
<ds:datastoreItem xmlns:ds="http://schemas.openxmlformats.org/officeDocument/2006/customXml" ds:itemID="{5BFC791C-4817-446E-8E58-A75CE1F3F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 Policy Manual - 2-2 Eligibility</vt:lpstr>
    </vt:vector>
  </TitlesOfParts>
  <Company>SRS</Company>
  <LinksUpToDate>false</LinksUpToDate>
  <CharactersWithSpaces>1996</CharactersWithSpaces>
  <SharedDoc>false</SharedDoc>
  <HLinks>
    <vt:vector size="42" baseType="variant">
      <vt:variant>
        <vt:i4>8257647</vt:i4>
      </vt:variant>
      <vt:variant>
        <vt:i4>18</vt:i4>
      </vt:variant>
      <vt:variant>
        <vt:i4>0</vt:i4>
      </vt:variant>
      <vt:variant>
        <vt:i4>5</vt:i4>
      </vt:variant>
      <vt:variant>
        <vt:lpwstr>http://www.gpo.gov/fdsys/pkg/CFR-2004-title34-vol2/pdf/CFR-2004-title34-vol2-sec361-36.pdf</vt:lpwstr>
      </vt:variant>
      <vt:variant>
        <vt:lpwstr/>
      </vt:variant>
      <vt:variant>
        <vt:i4>8061032</vt:i4>
      </vt:variant>
      <vt:variant>
        <vt:i4>15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http://www.gpo.gov/fdsys/pkg/CFR-2004-title34-vol2/pdf/CFR-2004-title34-vol2-sec361-43.pdf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section_2_part-2_eligibility_htm</vt:lpwstr>
      </vt:variant>
      <vt:variant>
        <vt:i4>4784139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section_1_part-11_record_of_serv_5749</vt:lpwstr>
      </vt:variant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http://www.gpo.gov/fdsys/pkg/CFR-2004-title34-vol2/pdf/CFR-2004-title34-vol2-sec361-42.pdf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http://www.gpo.gov/fdsys/pkg/CFR-2004-title34-vol2/pdf/CFR-2004-title34-vol2-sec361-42.pdf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http://www.gpo.gov/fdsys/pkg/CFR-2004-title34-vol2/pdf/CFR-2004-title34-vol2-sec361-41.pdf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Policy Manual - 2-2 Eligibility</dc:title>
  <dc:subject/>
  <dc:creator>Peg Spencer</dc:creator>
  <cp:keywords/>
  <cp:lastModifiedBy>Elizabeth VanVleck  [DCF]</cp:lastModifiedBy>
  <cp:revision>3</cp:revision>
  <cp:lastPrinted>2021-03-08T02:53:00Z</cp:lastPrinted>
  <dcterms:created xsi:type="dcterms:W3CDTF">2021-03-09T21:23:00Z</dcterms:created>
  <dcterms:modified xsi:type="dcterms:W3CDTF">2021-03-12T01:00:00Z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