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830" w:tblpY="1"/>
        <w:tblOverlap w:val="never"/>
        <w:tblW w:w="26450" w:type="dxa"/>
        <w:tblLayout w:type="fixed"/>
        <w:tblLook w:val="04A0" w:firstRow="1" w:lastRow="0" w:firstColumn="1" w:lastColumn="0" w:noHBand="0" w:noVBand="1"/>
      </w:tblPr>
      <w:tblGrid>
        <w:gridCol w:w="1340"/>
        <w:gridCol w:w="2430"/>
        <w:gridCol w:w="2610"/>
        <w:gridCol w:w="2340"/>
        <w:gridCol w:w="2070"/>
        <w:gridCol w:w="2340"/>
        <w:gridCol w:w="748"/>
        <w:gridCol w:w="872"/>
        <w:gridCol w:w="190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0F3215" w:rsidRPr="00BE7006" w:rsidTr="00166C27">
        <w:trPr>
          <w:trHeight w:val="173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:rsidR="00F15E04" w:rsidRPr="008C5978" w:rsidRDefault="00FF322A" w:rsidP="00166C27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</w:rPr>
            </w:pPr>
            <w:bookmarkStart w:id="0" w:name="_Hlk514143489"/>
            <w:r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_tradnl"/>
              </w:rPr>
              <w:t>Dominio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:rsidR="00F15E04" w:rsidRPr="008C5978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_tradnl"/>
              </w:rPr>
              <w:t>1 (En crisis)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:rsidR="00F15E04" w:rsidRPr="008C5978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_tradnl"/>
              </w:rPr>
              <w:t>2 (Vulnerable)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:rsidR="00F15E04" w:rsidRPr="008C5978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_tradnl"/>
              </w:rPr>
              <w:t>3 (Seguro)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:rsidR="00F15E04" w:rsidRPr="008C5978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_tradnl"/>
              </w:rPr>
              <w:t>4 (Estable/desarrollando capacidad</w:t>
            </w:r>
            <w:r w:rsidR="006E530F"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_tradnl"/>
              </w:rPr>
              <w:t>es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:rsidR="00F15E04" w:rsidRPr="00FB68CE" w:rsidRDefault="00FF322A" w:rsidP="00166C27">
            <w:pPr>
              <w:spacing w:after="0" w:line="240" w:lineRule="auto"/>
              <w:ind w:right="593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_tradnl"/>
              </w:rPr>
              <w:t>5 (Potenciado)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:rsidR="00F15E04" w:rsidRPr="00FB68CE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_tradnl"/>
              </w:rPr>
              <w:t>Puntuación</w:t>
            </w: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:rsidR="00F15E04" w:rsidRPr="00BE7006" w:rsidRDefault="00FF322A" w:rsidP="00166C27">
            <w:pPr>
              <w:spacing w:after="0" w:line="240" w:lineRule="auto"/>
              <w:ind w:left="-108" w:right="-226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_tradnl"/>
              </w:rPr>
              <w:t>¿Alcanzó la meta?</w:t>
            </w:r>
          </w:p>
          <w:p w:rsidR="00F15E04" w:rsidRPr="00BE7006" w:rsidRDefault="00FF322A" w:rsidP="00166C27">
            <w:pPr>
              <w:spacing w:after="0" w:line="240" w:lineRule="auto"/>
              <w:ind w:left="-108" w:right="-226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_tradnl"/>
              </w:rPr>
              <w:t>(Sí/No)</w:t>
            </w:r>
          </w:p>
        </w:tc>
        <w:tc>
          <w:tcPr>
            <w:tcW w:w="1900" w:type="dxa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vAlign w:val="bottom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vAlign w:val="bottom"/>
          </w:tcPr>
          <w:p w:rsidR="00F15E04" w:rsidRPr="00BE7006" w:rsidRDefault="00F15E04" w:rsidP="00166C27">
            <w:pPr>
              <w:spacing w:line="240" w:lineRule="auto"/>
              <w:rPr>
                <w:sz w:val="20"/>
                <w:szCs w:val="20"/>
                <w:lang w:val="es-419"/>
              </w:rPr>
            </w:pPr>
          </w:p>
        </w:tc>
        <w:tc>
          <w:tcPr>
            <w:tcW w:w="980" w:type="dxa"/>
            <w:vAlign w:val="bottom"/>
          </w:tcPr>
          <w:p w:rsidR="00F15E04" w:rsidRPr="00BE7006" w:rsidRDefault="00F15E04" w:rsidP="00166C27">
            <w:pPr>
              <w:spacing w:line="240" w:lineRule="auto"/>
              <w:rPr>
                <w:sz w:val="20"/>
                <w:szCs w:val="20"/>
                <w:lang w:val="es-419"/>
              </w:rPr>
            </w:pPr>
          </w:p>
        </w:tc>
      </w:tr>
      <w:bookmarkEnd w:id="0"/>
      <w:tr w:rsidR="000F3215" w:rsidRPr="00BE7006" w:rsidTr="00166C27">
        <w:trPr>
          <w:trHeight w:val="802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:rsidR="00F15E04" w:rsidRPr="008C5978" w:rsidRDefault="00FF322A" w:rsidP="00166C27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ES_tradnl"/>
              </w:rPr>
              <w:t>Vivienda/refugio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:rsidR="00F15E04" w:rsidRPr="008C5978" w:rsidRDefault="00FF322A" w:rsidP="00166C27">
            <w:pPr>
              <w:spacing w:after="0" w:line="240" w:lineRule="auto"/>
              <w:ind w:left="-29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Sin hogar o amenazado de desalojo, incluyendo viviendas precarias, durmiendo a la intemperie o en casa de otras personas ("couchsurfing"). Quedándose en una vivienda no destinada a la convivencia.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En una vivienda de transición, temporal o deficiente; y/o el pago actual del alquiler/hipoteca es inasequible (más del 30% de los ingresos).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En una vivienda estable que es segura pero sólo marginalmente adecuada.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 xml:space="preserve">La vivienda es segura, adecuada y está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val="es-ES_tradnl"/>
              </w:rPr>
              <w:t>subvencionada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 xml:space="preserve">La vivienda es segura, adecuada y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val="es-ES_tradnl"/>
              </w:rPr>
              <w:t>no está subvencionada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:rsidR="00F15E04" w:rsidRPr="00BE7006" w:rsidRDefault="00F15E04" w:rsidP="00166C27">
            <w:pPr>
              <w:spacing w:line="240" w:lineRule="auto"/>
              <w:ind w:left="-288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1900" w:type="dxa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vAlign w:val="bottom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vAlign w:val="bottom"/>
          </w:tcPr>
          <w:p w:rsidR="00F15E04" w:rsidRPr="00BE7006" w:rsidRDefault="00F15E04" w:rsidP="00166C27">
            <w:pPr>
              <w:spacing w:line="240" w:lineRule="auto"/>
              <w:rPr>
                <w:sz w:val="20"/>
                <w:szCs w:val="20"/>
                <w:lang w:val="es-419"/>
              </w:rPr>
            </w:pPr>
          </w:p>
        </w:tc>
        <w:tc>
          <w:tcPr>
            <w:tcW w:w="980" w:type="dxa"/>
            <w:vAlign w:val="bottom"/>
          </w:tcPr>
          <w:p w:rsidR="00F15E04" w:rsidRPr="00BE7006" w:rsidRDefault="00F15E04" w:rsidP="00166C27">
            <w:pPr>
              <w:spacing w:line="240" w:lineRule="auto"/>
              <w:rPr>
                <w:sz w:val="20"/>
                <w:szCs w:val="20"/>
                <w:lang w:val="es-419"/>
              </w:rPr>
            </w:pPr>
          </w:p>
        </w:tc>
      </w:tr>
      <w:tr w:rsidR="000F3215" w:rsidRPr="00BE7006" w:rsidTr="00166C27">
        <w:trPr>
          <w:trHeight w:val="70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E04" w:rsidRPr="003B4146" w:rsidRDefault="00FF322A" w:rsidP="00166C27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ES_tradnl"/>
              </w:rPr>
              <w:t>Empleo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E04" w:rsidRPr="003B4146" w:rsidRDefault="00FF322A" w:rsidP="00166C27">
            <w:pPr>
              <w:spacing w:after="0" w:line="240" w:lineRule="auto"/>
              <w:ind w:left="-29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Sin empleo.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Temporal, a tiempo parcial o estacional; salario inadecuado, sin beneficios.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Empleado a tiempo completo; salario inadecuado; pocos o ningún beneficio.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Empleado a tiempo completo con salario y beneficios adecuados.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Mantiene un empleo permanente con ingresos y beneficios adecuados.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E04" w:rsidRPr="00BE7006" w:rsidRDefault="00F15E04" w:rsidP="00166C27">
            <w:pPr>
              <w:spacing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shd w:val="clear" w:color="auto" w:fill="FFFFFF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shd w:val="clear" w:color="auto" w:fill="FFFFFF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shd w:val="clear" w:color="auto" w:fill="FFFFFF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shd w:val="clear" w:color="auto" w:fill="FFFFFF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shd w:val="clear" w:color="auto" w:fill="FFFFFF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shd w:val="clear" w:color="auto" w:fill="FFFFFF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shd w:val="clear" w:color="auto" w:fill="FFFFFF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shd w:val="clear" w:color="auto" w:fill="FFFFFF"/>
            <w:vAlign w:val="bottom"/>
          </w:tcPr>
          <w:p w:rsidR="00F15E04" w:rsidRPr="00BE7006" w:rsidRDefault="00F15E04" w:rsidP="00166C27">
            <w:pPr>
              <w:spacing w:line="240" w:lineRule="auto"/>
              <w:rPr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980" w:type="dxa"/>
            <w:shd w:val="clear" w:color="auto" w:fill="FFFFFF"/>
            <w:vAlign w:val="bottom"/>
          </w:tcPr>
          <w:p w:rsidR="00F15E04" w:rsidRPr="00BE7006" w:rsidRDefault="00F15E04" w:rsidP="00166C27">
            <w:pPr>
              <w:spacing w:line="240" w:lineRule="auto"/>
              <w:rPr>
                <w:sz w:val="20"/>
                <w:szCs w:val="20"/>
                <w:lang w:val="es-419"/>
              </w:rPr>
            </w:pPr>
          </w:p>
        </w:tc>
        <w:tc>
          <w:tcPr>
            <w:tcW w:w="980" w:type="dxa"/>
            <w:shd w:val="clear" w:color="auto" w:fill="FFFFFF"/>
            <w:vAlign w:val="bottom"/>
          </w:tcPr>
          <w:p w:rsidR="00F15E04" w:rsidRPr="00BE7006" w:rsidRDefault="00F15E04" w:rsidP="00166C27">
            <w:pPr>
              <w:spacing w:line="240" w:lineRule="auto"/>
              <w:rPr>
                <w:sz w:val="20"/>
                <w:szCs w:val="20"/>
                <w:lang w:val="es-419"/>
              </w:rPr>
            </w:pPr>
          </w:p>
        </w:tc>
      </w:tr>
      <w:tr w:rsidR="000F3215" w:rsidRPr="00BE7006" w:rsidTr="00166C27">
        <w:trPr>
          <w:gridAfter w:val="11"/>
          <w:wAfter w:w="11700" w:type="dxa"/>
          <w:trHeight w:val="380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F15E04" w:rsidRPr="003B4146" w:rsidRDefault="00FF322A" w:rsidP="00166C27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ES_tradnl"/>
              </w:rPr>
              <w:t>Ingresos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F15E04" w:rsidRPr="003B414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Sin ingresos.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Ingresos inadecuados y/o gastos espontáneos o inadecuados.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Puede satisfacer las necesidades básicas con una subvención; gasta con sensatez.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Puede satisfacer las necesidades básicas y gestionar las deudas sin ayuda.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Los ingresos son suficientes, están bien gestionados; tiene ingresos opcionales y es capaz de ahorrar.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ind w:left="-288" w:right="-658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</w:tr>
      <w:tr w:rsidR="000F3215" w:rsidRPr="00BE7006" w:rsidTr="00166C27">
        <w:trPr>
          <w:gridAfter w:val="11"/>
          <w:wAfter w:w="11700" w:type="dxa"/>
          <w:trHeight w:val="442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E04" w:rsidRPr="003B4146" w:rsidRDefault="00FF322A" w:rsidP="00166C27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ES_tradnl"/>
              </w:rPr>
              <w:t>Comida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No hay comida ni medios para prepararla. Depende en gran medida de otras fuentes de alimentos gratuitos o de bajo costo.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La unidad familiar recibe cupones/ayuda alimentaria.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Puede satisfacer las necesidades alimentarias básicas, pero requiere asistencia ocasional.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Puede satisfacer las necesidades alimentarias básicas sin asistencia.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Pueden optar por comprar cualquier alimento que la unidad familiar desee.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</w:tr>
      <w:tr w:rsidR="000F3215" w:rsidRPr="00BE7006" w:rsidTr="00166C27">
        <w:trPr>
          <w:gridAfter w:val="11"/>
          <w:wAfter w:w="11700" w:type="dxa"/>
          <w:trHeight w:val="497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F15E04" w:rsidRPr="003B4146" w:rsidRDefault="00FF322A" w:rsidP="00166C27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ES_tradnl"/>
              </w:rPr>
              <w:t xml:space="preserve">Cuidado infantil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Necesita una guardería, pero no hay ninguna disponible/accesible y/o el niño no es elegible.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Las guarderías son poco fiables o inasequibles, la supervisión inadecuada es un problema para las guarderías disponibles.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Hay guarderías subvencionadas a precios asequibles, pero son limitadas.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Hay guarderías fiables a precios asequibles, no se necesita subsidio.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Capaz de seleccionar un servicio de cuidado de niños de calidad. O El joven no está criando activamente a un niño.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</w:tr>
      <w:tr w:rsidR="000F3215" w:rsidRPr="00BE7006" w:rsidTr="00166C27">
        <w:trPr>
          <w:gridAfter w:val="11"/>
          <w:wAfter w:w="11700" w:type="dxa"/>
          <w:trHeight w:val="76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E04" w:rsidRDefault="00FF322A" w:rsidP="00166C27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ES_tradnl"/>
              </w:rPr>
              <w:t>Embarazo/</w:t>
            </w:r>
          </w:p>
          <w:p w:rsidR="00F15E04" w:rsidRPr="003B4146" w:rsidRDefault="00FF322A" w:rsidP="00166C27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ES_tradnl"/>
              </w:rPr>
              <w:t xml:space="preserve">Paternidad o Maternidad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Esperando/Criando un bebé con pocos o ningún recurso para cubrir las necesidades esenciales.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No puede satisfacer las necesidades diarias de los niños y no tiene acceso a los recursos necesarios para satisfacer las necesidades esenciales.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Depende de los recursos para satisfacer las necesidades esenciales de los hijos.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Capaz de satisfacer la mayoría de las necesidades y conectado a los recursos de la comunidad para las necesidades de los padres.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Capaz de satisfacer todas las necesidades de los niños y, si está embarazada, de recibir atención prenatal y no carecer de recursos. O La joven no está embarazada ni es madre activa de un niño.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</w:tr>
      <w:tr w:rsidR="000F3215" w:rsidTr="00166C27">
        <w:trPr>
          <w:gridAfter w:val="11"/>
          <w:wAfter w:w="11700" w:type="dxa"/>
          <w:trHeight w:val="722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F15E04" w:rsidRDefault="00FF322A" w:rsidP="00166C27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ES_tradnl"/>
              </w:rPr>
              <w:t>Educación para adultos/</w:t>
            </w:r>
          </w:p>
          <w:p w:rsidR="00F15E04" w:rsidRPr="003B4146" w:rsidRDefault="00FF322A" w:rsidP="00166C27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ES_tradnl"/>
              </w:rPr>
              <w:t>Lectoescritura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Los problemas de lectoescritura y/o la ausencia de un diploma de secundaria/GED son graves obstáculos para el empleo.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Inscrito en un programa de lectoescritura y/o GED y/o tiene suficiente dominio del inglés para que el idioma no sea una barrera para el empleo.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Ha obtenido el título de secundaria/GED.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Necesita/busca educación o capacitación adicional para mejorar su situación laboral y/o resolver sus problemas de lectura y escritura para poder desenvolverse eficazmente en la sociedad.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F15E04" w:rsidRPr="003B414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Ha completado la educación/capacitación necesaria para ser empleable. No hay problemas de lectura y escritura.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F15E04" w:rsidRPr="003B4146" w:rsidRDefault="00F15E04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F15E04" w:rsidRPr="003B4146" w:rsidRDefault="00F15E04" w:rsidP="00166C27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0F3215" w:rsidRPr="00BE7006" w:rsidTr="00166C27">
        <w:trPr>
          <w:gridAfter w:val="11"/>
          <w:wAfter w:w="11700" w:type="dxa"/>
          <w:trHeight w:val="397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E04" w:rsidRPr="003B4146" w:rsidRDefault="00FF322A" w:rsidP="00166C27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ES_tradnl"/>
              </w:rPr>
              <w:t>Cobertura de seguro médico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No hay cobertura médica con necesidad inmediata.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No hay cobertura médica y hay grandes dificultades para acceder a la atención médica cuando se necesita. Algunos miembros de la unidad familiar podrían estar en mal estado de salud.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Algunos miembros (por ejemplo, los niños) tienen cobertura médica.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Todos los miembros pueden recibir atención médica cuando la necesiten, pero puede suponer una carga para el presupuesto.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Todos los miembros están cubiertos por un seguro médico asequible y adecuado.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</w:tr>
      <w:tr w:rsidR="000F3215" w:rsidRPr="00BE7006" w:rsidTr="00166C27">
        <w:trPr>
          <w:gridAfter w:val="11"/>
          <w:wAfter w:w="11700" w:type="dxa"/>
          <w:trHeight w:val="60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F15E04" w:rsidRPr="003B4146" w:rsidRDefault="00FF322A" w:rsidP="00166C27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ES_tradnl"/>
              </w:rPr>
              <w:t>Habilidades para la vida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Incapaz de satisfacer las necesidades básicas como la higiene, la alimentación, las actividades de la vida diaria.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Puede satisfacer algunas pero no todas las necesidades de la vida diaria sin ayuda.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Puede satisfacer la mayoría de las necesidades de la vida diaria, pero no todas, sin ayuda.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Capaz de satisfacer todas las necesidades básicas de la vida diaria sin ayuda.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Capaz de proveer más allá de las necesidades básicas de la vida diaria para sí mismo y su familia.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</w:tr>
      <w:tr w:rsidR="000F3215" w:rsidRPr="00BE7006" w:rsidTr="00166C27">
        <w:trPr>
          <w:gridAfter w:val="11"/>
          <w:wAfter w:w="11700" w:type="dxa"/>
          <w:trHeight w:val="587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E04" w:rsidRPr="003B4146" w:rsidRDefault="00FF322A" w:rsidP="00166C27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ES_tradnl"/>
              </w:rPr>
              <w:lastRenderedPageBreak/>
              <w:t>Vida social/ Apoyos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Falta de apoyo necesario de la familia o los amigos. Está siendo explotado o corre un riesgo considerable de ser explotado o aprovechado por otros.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La familia/amigos pueden ser de apoyo, pero carecen de la capacidad o los recursos para ayudar; los miembros de la familia no se relacionan bien entre sí; posible maltrato o explotación.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Cierto apoyo de la familia/amigos; los miembros de la familia reconocen y tratan de cambiar los comportamientos negativos; están aprendiendo a comunicarse y apoyar.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Cuenta con fuerte apoyo de la familia o los amigos. Los miembros de la unidad familiar se apoyan mutuamente en sus esfuerzos.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Tiene una red de apoyo sana/en expansión; la unidad familiar es estable y la comunicación está siempre abierta.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</w:tr>
      <w:tr w:rsidR="000F3215" w:rsidRPr="00BE7006" w:rsidTr="00166C27">
        <w:trPr>
          <w:gridAfter w:val="11"/>
          <w:wAfter w:w="11700" w:type="dxa"/>
          <w:trHeight w:val="70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3B4146" w:rsidRDefault="00FF322A" w:rsidP="00166C27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ES_tradnl"/>
              </w:rPr>
              <w:t>Transporte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No tiene acceso al transporte, ni público ni privado; podría tener un automóvil que no funciona.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3B414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Hay transporte disponible, pero poco fiable, imprevisible, inasequible; podría tener automóvil pero sin seguro, licencia, etc. Automóvil que necesita reparaciones.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El transporte está disponible y es fiable, pero es limitado y/o incómodo; los conductores tienen licencia y están mínimamente asegurados.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El transporte es generalmente accesible para satisfacer las necesidades básicas de desplazamiento.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El transporte está disponible y es asequible; el automóvil está adecuadamente asegurado.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</w:tr>
      <w:tr w:rsidR="000F3215" w:rsidRPr="00BE7006" w:rsidTr="00166C27">
        <w:trPr>
          <w:gridAfter w:val="11"/>
          <w:wAfter w:w="11700" w:type="dxa"/>
          <w:trHeight w:val="433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:rsidR="00F15E04" w:rsidRPr="008C5978" w:rsidRDefault="00FF322A" w:rsidP="00166C27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_tradnl"/>
              </w:rPr>
              <w:t>Dominio</w:t>
            </w:r>
          </w:p>
        </w:tc>
        <w:tc>
          <w:tcPr>
            <w:tcW w:w="243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:rsidR="00F15E04" w:rsidRPr="008C5978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_tradnl"/>
              </w:rPr>
              <w:t>1 (En crisis)</w:t>
            </w:r>
          </w:p>
        </w:tc>
        <w:tc>
          <w:tcPr>
            <w:tcW w:w="261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:rsidR="00F15E04" w:rsidRPr="008C5978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_tradnl"/>
              </w:rPr>
              <w:t>2 (Vulnerable)</w:t>
            </w:r>
          </w:p>
        </w:tc>
        <w:tc>
          <w:tcPr>
            <w:tcW w:w="234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:rsidR="00F15E04" w:rsidRPr="008C5978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_tradnl"/>
              </w:rPr>
              <w:t>3 (Seguro)</w:t>
            </w:r>
          </w:p>
        </w:tc>
        <w:tc>
          <w:tcPr>
            <w:tcW w:w="207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:rsidR="00F15E04" w:rsidRPr="008C5978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_tradnl"/>
              </w:rPr>
              <w:t>4 (Estable/desarrollando capacidad)</w:t>
            </w:r>
          </w:p>
        </w:tc>
        <w:tc>
          <w:tcPr>
            <w:tcW w:w="234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:rsidR="00F15E04" w:rsidRPr="00FB68CE" w:rsidRDefault="00FF322A" w:rsidP="00166C27">
            <w:pPr>
              <w:spacing w:after="0" w:line="240" w:lineRule="auto"/>
              <w:ind w:right="593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_tradnl"/>
              </w:rPr>
              <w:t>5 (Potenciado)</w:t>
            </w:r>
          </w:p>
        </w:tc>
        <w:tc>
          <w:tcPr>
            <w:tcW w:w="74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:rsidR="00F15E04" w:rsidRPr="00FB68CE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_tradnl"/>
              </w:rPr>
              <w:t>Puntuación</w:t>
            </w:r>
          </w:p>
        </w:tc>
        <w:tc>
          <w:tcPr>
            <w:tcW w:w="87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:rsidR="00F15E04" w:rsidRPr="00BE7006" w:rsidRDefault="00FF322A" w:rsidP="00166C27">
            <w:pPr>
              <w:spacing w:after="0" w:line="240" w:lineRule="auto"/>
              <w:ind w:left="-108" w:right="-226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_tradnl"/>
              </w:rPr>
              <w:t>¿Alcanzó la meta? (Sí/No)</w:t>
            </w:r>
          </w:p>
        </w:tc>
      </w:tr>
      <w:tr w:rsidR="000F3215" w:rsidRPr="00BE7006" w:rsidTr="00166C27">
        <w:trPr>
          <w:gridAfter w:val="11"/>
          <w:wAfter w:w="11700" w:type="dxa"/>
          <w:trHeight w:val="802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E04" w:rsidRPr="008C5978" w:rsidRDefault="00FF322A" w:rsidP="00166C27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ES_tradnl"/>
              </w:rPr>
              <w:t>Participación de la comunidad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No aplicable debido a la situación de crisis; en modo "supervivencia".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b/>
                <w:strike/>
                <w:color w:val="FFFFFF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Aislado socialmente y/o sin habilidades sociales y/o necesita mejorar las habilidades sociales o existen barreras para participar.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Tiene la capacidad y el conocimiento para participar pero no está interesado o motivado en este momento y/o tiene barreras como el transporte, problemas de cuidado de los niños, etc.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Cierta participación en la comunidad (grupo de asesoramiento, grupo del recinto universitario, grupo de apoyo y/o grupo de la iglesia).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E04" w:rsidRPr="00BE7006" w:rsidRDefault="00FF322A" w:rsidP="00166C27">
            <w:pPr>
              <w:tabs>
                <w:tab w:val="center" w:pos="1512"/>
              </w:tabs>
              <w:spacing w:line="240" w:lineRule="auto"/>
              <w:ind w:right="593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Participa activamente en la comunidad (varios niveles de participación y/o asumir funciones de liderazgo).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E04" w:rsidRPr="00BE7006" w:rsidRDefault="00F15E04" w:rsidP="00166C27">
            <w:pPr>
              <w:spacing w:line="240" w:lineRule="auto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E04" w:rsidRPr="00BE7006" w:rsidRDefault="00F15E04" w:rsidP="00166C27">
            <w:pPr>
              <w:spacing w:line="240" w:lineRule="auto"/>
              <w:ind w:left="-288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s-419"/>
              </w:rPr>
            </w:pPr>
          </w:p>
        </w:tc>
      </w:tr>
      <w:tr w:rsidR="000F3215" w:rsidRPr="00BE7006" w:rsidTr="00166C27">
        <w:trPr>
          <w:gridAfter w:val="11"/>
          <w:wAfter w:w="11700" w:type="dxa"/>
          <w:trHeight w:val="397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F15E04" w:rsidRPr="008C5978" w:rsidRDefault="00FF322A" w:rsidP="00166C27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ES_tradnl"/>
              </w:rPr>
              <w:t>Legal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Multas pendientes, órdenes de detención o asuntos legales no resueltos.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Cargos actuales/juicio pendiente, incumplimiento de la libertad condicional.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Cumple plenamente con los términos de la libertad condicional.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Ha completado con éxito la libertad condicional en los últimos 12 meses, sin que se hayan presentado nuevos cargos.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No ha tenido implicación en la justicia penal en más de 12 meses y/o no tiene antecedentes penales.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F15E04" w:rsidRPr="00BE7006" w:rsidRDefault="00F15E04" w:rsidP="00166C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s-419"/>
              </w:rPr>
            </w:pP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F15E04" w:rsidRPr="00BE7006" w:rsidRDefault="00F15E04" w:rsidP="00166C27">
            <w:pPr>
              <w:spacing w:after="0" w:line="240" w:lineRule="auto"/>
              <w:ind w:left="-288" w:right="-958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s-419"/>
              </w:rPr>
            </w:pPr>
          </w:p>
        </w:tc>
      </w:tr>
      <w:tr w:rsidR="000F3215" w:rsidRPr="00BE7006" w:rsidTr="00166C27">
        <w:trPr>
          <w:gridAfter w:val="11"/>
          <w:wAfter w:w="11700" w:type="dxa"/>
          <w:trHeight w:val="730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E04" w:rsidRPr="003B4146" w:rsidRDefault="00FF322A" w:rsidP="00166C27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ES_tradnl"/>
              </w:rPr>
              <w:t>Salud mental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Peligro para sí mismo o para los demás; pensamiento suicida recurrente; experimenta graves dificultades en la vida cotidiana debido a problemas psicológicos.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Síntomas recurrentes de salud mental que pueden afectar al comportamiento, pero que no suponen un peligro para sí mismo ni para los demás; problemas persistentes de funcionamiento debido a los síntomas de salud mental.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Puede haber síntomas leves, pero son transitorios; sólo hay una dificultad moderada en el funcionamiento debido a los problemas de salud mental.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Síntomas mínimos que son respuestas previsibles a los factores estresantes de la vida; sólo un ligero deterioro del funcionamiento.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Los síntomas están ausentes o son escasos; el funcionamiento es bueno o superior en una amplia gama de actividades; no hay más que problemas o preocupaciones cotidianas.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</w:tr>
      <w:tr w:rsidR="000F3215" w:rsidRPr="00BE7006" w:rsidTr="00166C27">
        <w:trPr>
          <w:gridAfter w:val="11"/>
          <w:wAfter w:w="11700" w:type="dxa"/>
          <w:trHeight w:val="1315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3B4146" w:rsidRDefault="00FF322A" w:rsidP="00166C27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ES_tradnl"/>
              </w:rPr>
              <w:t>Abuso de sustancias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Cumple los criterios de abuso/dependencia grave; los problemas resultantes son tan graves que puede ser necesario vivir en una institución o la hospitalización.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Cumple los criterios de dependencia; preocupación por el consumo y/o la obtención de drogas/alcohol; conductas de abstinencia o de evasión del abandono evidentes; el consumo provoca la evasión o el descuido de actividades vitales esenciales.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Consumo en los últimos 6 meses; evidencia de problemas sociales, laborales, emocionales o físicos persistentes o recurrentes relacionados con el consumo (como comportamiento disruptivo o problemas de vivienda); los problemas han persistido durante al menos un mes.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El cliente ha consumido durante los últimos 6 meses, pero no hay evidencia de problemas sociales, laborales, emocionales o físicos persistentes o recurrentes relacionados con el consumo; no hay evidencia de consumo peligroso recurrente.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No ha consumido drogas/alcohol en los últimos 6 meses.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</w:tr>
      <w:tr w:rsidR="000F3215" w:rsidRPr="00BE7006" w:rsidTr="00166C27">
        <w:trPr>
          <w:gridAfter w:val="11"/>
          <w:wAfter w:w="11700" w:type="dxa"/>
          <w:trHeight w:val="249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E04" w:rsidRPr="003B4146" w:rsidRDefault="00FF322A" w:rsidP="00166C27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ES_tradnl"/>
              </w:rPr>
              <w:t>Seguridad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E04" w:rsidRPr="00514B89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El hogar o la residencia no son seguros; el nivel de peligro/daño inmediato es extremadamente alto; posible implicación de CPS. Violencia doméstica o abuso/negligencia presentes en el hogar.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E04" w:rsidRPr="00514B89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La seguridad está amenazada/se dispone de protección temporal; el nivel de peligro/daño es alto. Violencia doméstica, abuso/descuido potencialmente experimentados en el hogar.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El nivel actual de seguridad es mínimamente adecuado; la planificación continua de la seguridad es esencial.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El entorno es seguro, pero su futuro es incierto; la planificación de la seguridad es importante.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El entorno es aparentemente seguro y estable.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</w:tr>
      <w:tr w:rsidR="000F3215" w:rsidRPr="00BE7006" w:rsidTr="00166C27">
        <w:trPr>
          <w:gridAfter w:val="11"/>
          <w:wAfter w:w="11700" w:type="dxa"/>
          <w:trHeight w:val="402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3B4146" w:rsidRDefault="00FF322A" w:rsidP="00166C27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ES_tradnl"/>
              </w:rPr>
              <w:lastRenderedPageBreak/>
              <w:t>Discapacidades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Síntomas agudos o crónicos que afectan la vivienda, el empleo, las interacciones sociales, etc.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A veces o periódicamente tiene síntomas agudos o crónicos que afectan la vivienda, el empleo, las interacciones sociales, etc.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En muy pocas ocasiones tiene síntomas agudos o crónicos que afectan la vivienda, el empleo, las interacciones sociales, etc.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Asintomático: condición controlada por servicios o la medicación.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No se ha identificado ninguna discapacidad.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</w:tr>
      <w:tr w:rsidR="000F3215" w:rsidRPr="00BE7006" w:rsidTr="00166C27">
        <w:trPr>
          <w:gridAfter w:val="11"/>
          <w:wAfter w:w="11700" w:type="dxa"/>
          <w:trHeight w:val="35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5E04" w:rsidRPr="003B4146" w:rsidRDefault="00FF322A" w:rsidP="00166C27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ES_tradnl"/>
              </w:rPr>
              <w:t>Crédito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Quiebras/ejecuciones hipotecarias/desahucios/deudas de casas de empeño o de juego.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Juicios/perjuicios pendientes; no puede pagar las facturas actuales.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Necesita una reparación de crédito/recuperación de crédito, deudas pendientes mínimas, préstamos de día de pago.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Reconstruyendo el crédito. Está pagando las facturas a tiempo, el crédito se va construyendo.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ES_tradnl"/>
              </w:rPr>
              <w:t>Presupuesto manejable, crédito intacto y sin problemas con los acreedores/deuda.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</w:tr>
      <w:tr w:rsidR="000F3215" w:rsidRPr="00BE7006" w:rsidTr="00166C27">
        <w:trPr>
          <w:gridAfter w:val="11"/>
          <w:wAfter w:w="11700" w:type="dxa"/>
          <w:trHeight w:val="397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s-ES_tradnl"/>
              </w:rPr>
              <w:t xml:space="preserve">Barreras a la vivienda de alto riesgo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val="es-ES_tradnl"/>
              </w:rPr>
              <w:t>(</w:t>
            </w:r>
            <w:r w:rsidR="00BE700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val="es-ES_tradnl"/>
              </w:rPr>
              <w:t>Circule todas las que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val="es-ES_tradnl"/>
              </w:rPr>
              <w:t xml:space="preserve"> corresponda</w:t>
            </w:r>
            <w:r w:rsidR="00BE700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val="es-ES_tradnl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val="es-ES_tradnl"/>
              </w:rPr>
              <w:t>):</w:t>
            </w:r>
          </w:p>
        </w:tc>
        <w:tc>
          <w:tcPr>
            <w:tcW w:w="1341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val="es-ES_tradnl"/>
              </w:rPr>
              <w:t>Delincuente sexual             Bancarota              Persona Delictiva              Menor en colocación OOH               Cargos por drogas               Condenas por delitos graves                Problemas de crédito                 Sentencias civiles</w:t>
            </w:r>
          </w:p>
          <w:p w:rsidR="00F15E04" w:rsidRPr="00BE7006" w:rsidRDefault="00F15E04" w:rsidP="00166C27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</w:tr>
      <w:tr w:rsidR="000F3215" w:rsidRPr="00BE7006" w:rsidTr="00166C27">
        <w:trPr>
          <w:gridAfter w:val="11"/>
          <w:wAfter w:w="11700" w:type="dxa"/>
          <w:trHeight w:val="497"/>
        </w:trPr>
        <w:tc>
          <w:tcPr>
            <w:tcW w:w="10790" w:type="dxa"/>
            <w:gridSpan w:val="5"/>
            <w:shd w:val="clear" w:color="auto" w:fill="FFFFFF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 w:rsidRPr="00BE7006">
              <w:rPr>
                <w:lang w:val="es-419"/>
              </w:rPr>
              <w:t xml:space="preserve">                                      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:rsidR="00F15E04" w:rsidRPr="00BE7006" w:rsidRDefault="00FF322A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_tradnl"/>
              </w:rPr>
              <w:t>Puntuación total de la matriz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5E04" w:rsidRPr="00BE7006" w:rsidRDefault="00F15E04" w:rsidP="00166C27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s-419"/>
              </w:rPr>
            </w:pPr>
          </w:p>
        </w:tc>
      </w:tr>
    </w:tbl>
    <w:p w:rsidR="00F15E04" w:rsidRPr="00BE7006" w:rsidRDefault="00FF322A" w:rsidP="002D1083">
      <w:pPr>
        <w:tabs>
          <w:tab w:val="left" w:pos="10245"/>
        </w:tabs>
        <w:spacing w:line="240" w:lineRule="auto"/>
        <w:rPr>
          <w:lang w:val="es-419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5389880</wp:posOffset>
            </wp:positionV>
            <wp:extent cx="1444963" cy="970915"/>
            <wp:effectExtent l="0" t="0" r="317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506352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963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083" w:rsidRPr="00BE7006">
        <w:rPr>
          <w:lang w:val="es-419"/>
        </w:rPr>
        <w:tab/>
      </w:r>
    </w:p>
    <w:p w:rsidR="00C40999" w:rsidRPr="00BE7006" w:rsidRDefault="00C40999">
      <w:pPr>
        <w:rPr>
          <w:lang w:val="es-419"/>
        </w:rPr>
      </w:pPr>
    </w:p>
    <w:sectPr w:rsidR="00C40999" w:rsidRPr="00BE7006" w:rsidSect="00D60C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334" w:right="5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22A" w:rsidRDefault="00FF322A">
      <w:pPr>
        <w:spacing w:after="0" w:line="240" w:lineRule="auto"/>
      </w:pPr>
      <w:r>
        <w:separator/>
      </w:r>
    </w:p>
  </w:endnote>
  <w:endnote w:type="continuationSeparator" w:id="0">
    <w:p w:rsidR="00FF322A" w:rsidRDefault="00FF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9D6" w:rsidRDefault="00A53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942" w:rsidRDefault="00CA4942" w:rsidP="00CA494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9D6" w:rsidRDefault="00A53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22A" w:rsidRDefault="00FF322A">
      <w:pPr>
        <w:spacing w:after="0" w:line="240" w:lineRule="auto"/>
      </w:pPr>
      <w:r>
        <w:separator/>
      </w:r>
    </w:p>
  </w:footnote>
  <w:footnote w:type="continuationSeparator" w:id="0">
    <w:p w:rsidR="00FF322A" w:rsidRDefault="00FF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9D6" w:rsidRDefault="00A53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65D" w:rsidRPr="00BE7006" w:rsidRDefault="00FF322A" w:rsidP="008C5978">
    <w:pPr>
      <w:pStyle w:val="Header"/>
      <w:tabs>
        <w:tab w:val="clear" w:pos="4680"/>
        <w:tab w:val="clear" w:pos="9360"/>
        <w:tab w:val="center" w:pos="6480"/>
      </w:tabs>
      <w:ind w:left="-810" w:right="-720"/>
      <w:rPr>
        <w:rFonts w:ascii="Times New Roman" w:hAnsi="Times New Roman"/>
        <w:sz w:val="16"/>
        <w:szCs w:val="16"/>
        <w:lang w:val="es-419"/>
      </w:rPr>
    </w:pPr>
    <w:r>
      <w:rPr>
        <w:rFonts w:ascii="Times New Roman" w:eastAsia="Times New Roman" w:hAnsi="Times New Roman"/>
        <w:sz w:val="16"/>
        <w:szCs w:val="16"/>
        <w:lang w:val="es-ES_tradnl"/>
      </w:rPr>
      <w:t>Estado de Kansas</w:t>
    </w:r>
    <w:r>
      <w:rPr>
        <w:rFonts w:ascii="Times New Roman" w:eastAsia="Times New Roman" w:hAnsi="Times New Roman"/>
        <w:b/>
        <w:bCs/>
        <w:sz w:val="16"/>
        <w:szCs w:val="16"/>
        <w:lang w:val="es-ES_tradnl"/>
      </w:rPr>
      <w:tab/>
      <w:t xml:space="preserve"> </w:t>
    </w:r>
    <w:r>
      <w:rPr>
        <w:rFonts w:ascii="Times New Roman" w:eastAsia="Times New Roman" w:hAnsi="Times New Roman"/>
        <w:b/>
        <w:bCs/>
        <w:sz w:val="20"/>
        <w:szCs w:val="20"/>
        <w:lang w:val="es-ES_tradnl"/>
      </w:rPr>
      <w:t>Matriz de autosuficiencia de la vida independiente de Kansas</w:t>
    </w:r>
    <w:r>
      <w:rPr>
        <w:rFonts w:ascii="Times New Roman" w:eastAsia="Times New Roman" w:hAnsi="Times New Roman"/>
        <w:sz w:val="16"/>
        <w:szCs w:val="16"/>
        <w:lang w:val="es-ES_tradnl"/>
      </w:rPr>
      <w:tab/>
      <w:t xml:space="preserve">                                                            </w:t>
    </w:r>
    <w:r>
      <w:rPr>
        <w:rFonts w:ascii="Times New Roman" w:eastAsia="Times New Roman" w:hAnsi="Times New Roman"/>
        <w:sz w:val="16"/>
        <w:szCs w:val="16"/>
        <w:lang w:val="es-ES_tradnl"/>
      </w:rPr>
      <w:tab/>
      <w:t xml:space="preserve">  </w:t>
    </w:r>
    <w:r>
      <w:rPr>
        <w:rFonts w:ascii="Times New Roman" w:eastAsia="Times New Roman" w:hAnsi="Times New Roman"/>
        <w:sz w:val="16"/>
        <w:szCs w:val="16"/>
        <w:lang w:val="es-ES_tradnl"/>
      </w:rPr>
      <w:tab/>
      <w:t>PPS 7030</w:t>
    </w:r>
  </w:p>
  <w:p w:rsidR="0055765D" w:rsidRPr="00BE7006" w:rsidRDefault="00FF322A" w:rsidP="0055765D">
    <w:pPr>
      <w:pStyle w:val="Header"/>
      <w:ind w:left="-810" w:right="-720"/>
      <w:rPr>
        <w:rFonts w:ascii="Times New Roman" w:hAnsi="Times New Roman"/>
        <w:sz w:val="16"/>
        <w:szCs w:val="16"/>
        <w:lang w:val="es-419"/>
      </w:rPr>
    </w:pPr>
    <w:r>
      <w:rPr>
        <w:rFonts w:ascii="Times New Roman" w:eastAsia="Times New Roman" w:hAnsi="Times New Roman"/>
        <w:sz w:val="16"/>
        <w:szCs w:val="16"/>
        <w:lang w:val="es-ES_tradnl"/>
      </w:rPr>
      <w:t xml:space="preserve">Departamento de Niños y Familias                                                                   </w:t>
    </w:r>
    <w:r>
      <w:rPr>
        <w:rFonts w:ascii="Times New Roman" w:eastAsia="Times New Roman" w:hAnsi="Times New Roman"/>
        <w:sz w:val="16"/>
        <w:szCs w:val="16"/>
        <w:lang w:val="es-ES_tradnl"/>
      </w:rPr>
      <w:tab/>
    </w:r>
    <w:r>
      <w:rPr>
        <w:rFonts w:ascii="Times New Roman" w:eastAsia="Times New Roman" w:hAnsi="Times New Roman"/>
        <w:sz w:val="16"/>
        <w:szCs w:val="16"/>
        <w:lang w:val="es-ES_tradnl"/>
      </w:rPr>
      <w:tab/>
    </w:r>
    <w:r>
      <w:rPr>
        <w:rFonts w:ascii="Times New Roman" w:eastAsia="Times New Roman" w:hAnsi="Times New Roman"/>
        <w:sz w:val="16"/>
        <w:szCs w:val="16"/>
        <w:lang w:val="es-ES_tradnl"/>
      </w:rPr>
      <w:tab/>
    </w:r>
    <w:r>
      <w:rPr>
        <w:rFonts w:ascii="Times New Roman" w:eastAsia="Times New Roman" w:hAnsi="Times New Roman"/>
        <w:sz w:val="16"/>
        <w:szCs w:val="16"/>
        <w:lang w:val="es-ES_tradnl"/>
      </w:rPr>
      <w:tab/>
    </w:r>
    <w:r>
      <w:rPr>
        <w:rFonts w:ascii="Times New Roman" w:eastAsia="Times New Roman" w:hAnsi="Times New Roman"/>
        <w:sz w:val="16"/>
        <w:szCs w:val="16"/>
        <w:lang w:val="es-ES_tradnl"/>
      </w:rPr>
      <w:tab/>
      <w:t xml:space="preserve">                          REV. Ene. 2021</w:t>
    </w:r>
  </w:p>
  <w:p w:rsidR="0055765D" w:rsidRPr="00BE7006" w:rsidRDefault="00FF322A" w:rsidP="0055765D">
    <w:pPr>
      <w:pStyle w:val="Header"/>
      <w:ind w:left="-810" w:right="-720"/>
      <w:rPr>
        <w:rFonts w:ascii="Times New Roman" w:hAnsi="Times New Roman"/>
        <w:sz w:val="16"/>
        <w:szCs w:val="16"/>
        <w:lang w:val="es-419"/>
      </w:rPr>
    </w:pPr>
    <w:r>
      <w:rPr>
        <w:rFonts w:ascii="Times New Roman" w:eastAsia="Times New Roman" w:hAnsi="Times New Roman"/>
        <w:sz w:val="16"/>
        <w:szCs w:val="16"/>
        <w:lang w:val="es-ES_tradnl"/>
      </w:rPr>
      <w:t>Servicios de prevención y protección</w:t>
    </w:r>
    <w:r>
      <w:rPr>
        <w:rFonts w:ascii="Times New Roman" w:eastAsia="Times New Roman" w:hAnsi="Times New Roman"/>
        <w:b/>
        <w:bCs/>
        <w:sz w:val="16"/>
        <w:szCs w:val="16"/>
        <w:lang w:val="es-ES_tradnl"/>
      </w:rPr>
      <w:tab/>
    </w:r>
    <w:r>
      <w:rPr>
        <w:rFonts w:ascii="Times New Roman" w:eastAsia="Times New Roman" w:hAnsi="Times New Roman"/>
        <w:b/>
        <w:bCs/>
        <w:sz w:val="16"/>
        <w:szCs w:val="16"/>
        <w:lang w:val="es-ES_tradnl"/>
      </w:rPr>
      <w:tab/>
    </w:r>
    <w:r>
      <w:rPr>
        <w:rFonts w:ascii="Times New Roman" w:eastAsia="Times New Roman" w:hAnsi="Times New Roman"/>
        <w:b/>
        <w:bCs/>
        <w:sz w:val="16"/>
        <w:szCs w:val="16"/>
        <w:lang w:val="es-ES_tradnl"/>
      </w:rPr>
      <w:tab/>
    </w:r>
    <w:r>
      <w:rPr>
        <w:rFonts w:ascii="Times New Roman" w:eastAsia="Times New Roman" w:hAnsi="Times New Roman"/>
        <w:b/>
        <w:bCs/>
        <w:sz w:val="16"/>
        <w:szCs w:val="16"/>
        <w:lang w:val="es-ES_tradnl"/>
      </w:rPr>
      <w:tab/>
      <w:t xml:space="preserve">          </w:t>
    </w:r>
    <w:r>
      <w:rPr>
        <w:rFonts w:ascii="Times New Roman" w:eastAsia="Times New Roman" w:hAnsi="Times New Roman"/>
        <w:b/>
        <w:bCs/>
        <w:sz w:val="16"/>
        <w:szCs w:val="16"/>
        <w:lang w:val="es-ES_tradnl"/>
      </w:rPr>
      <w:tab/>
      <w:t xml:space="preserve">         </w:t>
    </w:r>
    <w:r>
      <w:rPr>
        <w:rFonts w:ascii="Times New Roman" w:eastAsia="Times New Roman" w:hAnsi="Times New Roman"/>
        <w:b/>
        <w:bCs/>
        <w:sz w:val="16"/>
        <w:szCs w:val="16"/>
        <w:lang w:val="es-ES_tradnl"/>
      </w:rPr>
      <w:tab/>
      <w:t xml:space="preserve">                </w:t>
    </w:r>
    <w:r>
      <w:rPr>
        <w:rFonts w:ascii="Times New Roman" w:eastAsia="Times New Roman" w:hAnsi="Times New Roman"/>
        <w:sz w:val="16"/>
        <w:szCs w:val="16"/>
        <w:lang w:val="es-ES_tradnl"/>
      </w:rPr>
      <w:t>P</w:t>
    </w:r>
    <w:r w:rsidR="00BE7006">
      <w:rPr>
        <w:rFonts w:ascii="Times New Roman" w:eastAsia="Times New Roman" w:hAnsi="Times New Roman"/>
        <w:sz w:val="16"/>
        <w:szCs w:val="16"/>
        <w:lang w:val="es-ES_tradnl"/>
      </w:rPr>
      <w:t>ágina</w:t>
    </w:r>
    <w:r>
      <w:rPr>
        <w:rFonts w:ascii="Times New Roman" w:eastAsia="Times New Roman" w:hAnsi="Times New Roman"/>
        <w:sz w:val="16"/>
        <w:szCs w:val="16"/>
        <w:lang w:val="es-ES_tradnl"/>
      </w:rPr>
      <w:t xml:space="preserve"> </w:t>
    </w:r>
    <w:r w:rsidRPr="00C975C1">
      <w:rPr>
        <w:rFonts w:ascii="Times New Roman" w:hAnsi="Times New Roman"/>
        <w:b/>
        <w:bCs/>
        <w:sz w:val="16"/>
        <w:szCs w:val="16"/>
      </w:rPr>
      <w:fldChar w:fldCharType="begin"/>
    </w:r>
    <w:r w:rsidRPr="00BE7006">
      <w:rPr>
        <w:rFonts w:ascii="Times New Roman" w:hAnsi="Times New Roman"/>
        <w:b/>
        <w:bCs/>
        <w:sz w:val="16"/>
        <w:szCs w:val="16"/>
        <w:lang w:val="es-419"/>
      </w:rPr>
      <w:instrText xml:space="preserve"> PAGE </w:instrText>
    </w:r>
    <w:r w:rsidRPr="00C975C1">
      <w:rPr>
        <w:rFonts w:ascii="Times New Roman" w:hAnsi="Times New Roman"/>
        <w:b/>
        <w:bCs/>
        <w:sz w:val="16"/>
        <w:szCs w:val="16"/>
      </w:rPr>
      <w:fldChar w:fldCharType="separate"/>
    </w:r>
    <w:r w:rsidRPr="00BE7006">
      <w:rPr>
        <w:rFonts w:ascii="Times New Roman" w:hAnsi="Times New Roman"/>
        <w:b/>
        <w:bCs/>
        <w:noProof/>
        <w:sz w:val="16"/>
        <w:szCs w:val="16"/>
        <w:lang w:val="es-419"/>
      </w:rPr>
      <w:t>2</w:t>
    </w:r>
    <w:r w:rsidRPr="00C975C1">
      <w:rPr>
        <w:rFonts w:ascii="Times New Roman" w:hAnsi="Times New Roman"/>
        <w:b/>
        <w:bCs/>
        <w:sz w:val="16"/>
        <w:szCs w:val="16"/>
      </w:rPr>
      <w:fldChar w:fldCharType="end"/>
    </w:r>
    <w:r>
      <w:rPr>
        <w:rFonts w:ascii="Times New Roman" w:eastAsia="Times New Roman" w:hAnsi="Times New Roman"/>
        <w:sz w:val="16"/>
        <w:szCs w:val="16"/>
        <w:lang w:val="es-ES_tradnl"/>
      </w:rPr>
      <w:t xml:space="preserve"> </w:t>
    </w:r>
    <w:r w:rsidR="00BE7006">
      <w:rPr>
        <w:rFonts w:ascii="Times New Roman" w:eastAsia="Times New Roman" w:hAnsi="Times New Roman"/>
        <w:sz w:val="16"/>
        <w:szCs w:val="16"/>
        <w:lang w:val="es-ES_tradnl"/>
      </w:rPr>
      <w:t>de</w:t>
    </w:r>
    <w:r>
      <w:rPr>
        <w:rFonts w:ascii="Times New Roman" w:eastAsia="Times New Roman" w:hAnsi="Times New Roman"/>
        <w:sz w:val="16"/>
        <w:szCs w:val="16"/>
        <w:lang w:val="es-ES_tradnl"/>
      </w:rPr>
      <w:t xml:space="preserve"> </w:t>
    </w:r>
    <w:r w:rsidRPr="00C975C1">
      <w:rPr>
        <w:rFonts w:ascii="Times New Roman" w:hAnsi="Times New Roman"/>
        <w:b/>
        <w:bCs/>
        <w:sz w:val="16"/>
        <w:szCs w:val="16"/>
      </w:rPr>
      <w:fldChar w:fldCharType="begin"/>
    </w:r>
    <w:r w:rsidRPr="00BE7006">
      <w:rPr>
        <w:rFonts w:ascii="Times New Roman" w:hAnsi="Times New Roman"/>
        <w:b/>
        <w:bCs/>
        <w:sz w:val="16"/>
        <w:szCs w:val="16"/>
        <w:lang w:val="es-419"/>
      </w:rPr>
      <w:instrText xml:space="preserve"> NUMPAGES  </w:instrText>
    </w:r>
    <w:r w:rsidRPr="00C975C1">
      <w:rPr>
        <w:rFonts w:ascii="Times New Roman" w:hAnsi="Times New Roman"/>
        <w:b/>
        <w:bCs/>
        <w:sz w:val="16"/>
        <w:szCs w:val="16"/>
      </w:rPr>
      <w:fldChar w:fldCharType="separate"/>
    </w:r>
    <w:r w:rsidRPr="00BE7006">
      <w:rPr>
        <w:rFonts w:ascii="Times New Roman" w:hAnsi="Times New Roman"/>
        <w:b/>
        <w:bCs/>
        <w:noProof/>
        <w:sz w:val="16"/>
        <w:szCs w:val="16"/>
        <w:lang w:val="es-419"/>
      </w:rPr>
      <w:t>2</w:t>
    </w:r>
    <w:r w:rsidRPr="00C975C1">
      <w:rPr>
        <w:rFonts w:ascii="Times New Roman" w:hAnsi="Times New Roman"/>
        <w:b/>
        <w:bCs/>
        <w:sz w:val="16"/>
        <w:szCs w:val="16"/>
      </w:rPr>
      <w:fldChar w:fldCharType="end"/>
    </w:r>
  </w:p>
  <w:p w:rsidR="003B4146" w:rsidRPr="00BE7006" w:rsidRDefault="003B4146" w:rsidP="0055765D">
    <w:pPr>
      <w:pStyle w:val="Header"/>
      <w:tabs>
        <w:tab w:val="clear" w:pos="9360"/>
        <w:tab w:val="left" w:pos="10170"/>
        <w:tab w:val="left" w:pos="12330"/>
      </w:tabs>
      <w:ind w:left="-810" w:right="-720"/>
      <w:rPr>
        <w:rFonts w:ascii="Times New Roman" w:hAnsi="Times New Roman"/>
        <w:b/>
        <w:sz w:val="16"/>
        <w:szCs w:val="16"/>
        <w:lang w:val="es-4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5D0" w:rsidRPr="00BE7006" w:rsidRDefault="00FF322A" w:rsidP="00122BBB">
    <w:pPr>
      <w:pStyle w:val="Header"/>
      <w:tabs>
        <w:tab w:val="clear" w:pos="4680"/>
        <w:tab w:val="clear" w:pos="9360"/>
        <w:tab w:val="center" w:pos="6480"/>
      </w:tabs>
      <w:ind w:left="-990"/>
      <w:rPr>
        <w:rFonts w:ascii="Times New Roman" w:hAnsi="Times New Roman"/>
        <w:sz w:val="16"/>
        <w:szCs w:val="16"/>
        <w:lang w:val="es-419"/>
      </w:rPr>
    </w:pPr>
    <w:r>
      <w:rPr>
        <w:rFonts w:ascii="Times New Roman" w:eastAsia="Times New Roman" w:hAnsi="Times New Roman"/>
        <w:sz w:val="16"/>
        <w:szCs w:val="16"/>
        <w:lang w:val="es-ES_tradnl"/>
      </w:rPr>
      <w:t>Estado de Kansas</w:t>
    </w:r>
    <w:r>
      <w:rPr>
        <w:rFonts w:ascii="Times New Roman" w:eastAsia="Times New Roman" w:hAnsi="Times New Roman"/>
        <w:b/>
        <w:bCs/>
        <w:sz w:val="16"/>
        <w:szCs w:val="16"/>
        <w:lang w:val="es-ES_tradnl"/>
      </w:rPr>
      <w:tab/>
      <w:t xml:space="preserve"> </w:t>
    </w:r>
    <w:r>
      <w:rPr>
        <w:rFonts w:ascii="Times New Roman" w:eastAsia="Times New Roman" w:hAnsi="Times New Roman"/>
        <w:b/>
        <w:bCs/>
        <w:sz w:val="20"/>
        <w:szCs w:val="20"/>
        <w:lang w:val="es-ES_tradnl"/>
      </w:rPr>
      <w:t>Matriz de autosuficiencia de la vida independiente de Kansas</w:t>
    </w:r>
    <w:r>
      <w:rPr>
        <w:rFonts w:ascii="Times New Roman" w:eastAsia="Times New Roman" w:hAnsi="Times New Roman"/>
        <w:sz w:val="16"/>
        <w:szCs w:val="16"/>
        <w:lang w:val="es-ES_tradnl"/>
      </w:rPr>
      <w:tab/>
      <w:t xml:space="preserve">                                                            </w:t>
    </w:r>
    <w:r>
      <w:rPr>
        <w:rFonts w:ascii="Times New Roman" w:eastAsia="Times New Roman" w:hAnsi="Times New Roman"/>
        <w:sz w:val="16"/>
        <w:szCs w:val="16"/>
        <w:lang w:val="es-ES_tradnl"/>
      </w:rPr>
      <w:tab/>
      <w:t xml:space="preserve">  </w:t>
    </w:r>
    <w:r>
      <w:rPr>
        <w:rFonts w:ascii="Times New Roman" w:eastAsia="Times New Roman" w:hAnsi="Times New Roman"/>
        <w:sz w:val="16"/>
        <w:szCs w:val="16"/>
        <w:lang w:val="es-ES_tradnl"/>
      </w:rPr>
      <w:tab/>
      <w:t>PPS 7030</w:t>
    </w:r>
  </w:p>
  <w:p w:rsidR="006435D0" w:rsidRPr="00BE7006" w:rsidRDefault="00FF322A" w:rsidP="00122BBB">
    <w:pPr>
      <w:pStyle w:val="Header"/>
      <w:ind w:left="-990"/>
      <w:rPr>
        <w:rFonts w:ascii="Times New Roman" w:hAnsi="Times New Roman"/>
        <w:sz w:val="16"/>
        <w:szCs w:val="16"/>
        <w:lang w:val="es-419"/>
      </w:rPr>
    </w:pPr>
    <w:r>
      <w:rPr>
        <w:rFonts w:ascii="Times New Roman" w:eastAsia="Times New Roman" w:hAnsi="Times New Roman"/>
        <w:sz w:val="16"/>
        <w:szCs w:val="16"/>
        <w:lang w:val="es-ES_tradnl"/>
      </w:rPr>
      <w:t xml:space="preserve">Departamento de Niños y Familias                              </w:t>
    </w:r>
    <w:r w:rsidR="002E5355">
      <w:rPr>
        <w:rFonts w:ascii="Times New Roman" w:eastAsia="Times New Roman" w:hAnsi="Times New Roman"/>
        <w:sz w:val="16"/>
        <w:szCs w:val="16"/>
        <w:lang w:val="es-ES_tradnl"/>
      </w:rPr>
      <w:tab/>
    </w:r>
    <w:r>
      <w:rPr>
        <w:rFonts w:ascii="Times New Roman" w:eastAsia="Times New Roman" w:hAnsi="Times New Roman"/>
        <w:sz w:val="16"/>
        <w:szCs w:val="16"/>
        <w:lang w:val="es-ES_tradnl"/>
      </w:rPr>
      <w:t>Nombre del joven/adulto joven: ________________________________             Fecha en que se completó: _________________</w:t>
    </w:r>
    <w:r>
      <w:rPr>
        <w:rFonts w:ascii="Times New Roman" w:eastAsia="Times New Roman" w:hAnsi="Times New Roman"/>
        <w:sz w:val="16"/>
        <w:szCs w:val="16"/>
        <w:lang w:val="es-ES_tradnl"/>
      </w:rPr>
      <w:softHyphen/>
    </w:r>
    <w:r>
      <w:rPr>
        <w:rFonts w:ascii="Times New Roman" w:eastAsia="Times New Roman" w:hAnsi="Times New Roman"/>
        <w:sz w:val="16"/>
        <w:szCs w:val="16"/>
        <w:lang w:val="es-ES_tradnl"/>
      </w:rPr>
      <w:softHyphen/>
    </w:r>
    <w:r>
      <w:rPr>
        <w:rFonts w:ascii="Times New Roman" w:eastAsia="Times New Roman" w:hAnsi="Times New Roman"/>
        <w:sz w:val="16"/>
        <w:szCs w:val="16"/>
        <w:lang w:val="es-ES_tradnl"/>
      </w:rPr>
      <w:softHyphen/>
      <w:t>___                                              REV. Ene. 2021</w:t>
    </w:r>
  </w:p>
  <w:p w:rsidR="006435D0" w:rsidRPr="00BE7006" w:rsidRDefault="00FF322A" w:rsidP="00FF081D">
    <w:pPr>
      <w:pStyle w:val="Header"/>
      <w:tabs>
        <w:tab w:val="left" w:pos="7515"/>
      </w:tabs>
      <w:ind w:left="-990"/>
      <w:rPr>
        <w:rFonts w:ascii="Times New Roman" w:hAnsi="Times New Roman"/>
        <w:b/>
        <w:bCs/>
        <w:sz w:val="16"/>
        <w:szCs w:val="16"/>
        <w:lang w:val="es-419"/>
      </w:rPr>
    </w:pPr>
    <w:r w:rsidRPr="00BE7006">
      <w:rPr>
        <w:rFonts w:ascii="Times New Roman" w:eastAsia="Times New Roman" w:hAnsi="Times New Roman"/>
        <w:sz w:val="16"/>
        <w:szCs w:val="16"/>
        <w:lang w:val="es-419"/>
      </w:rPr>
      <w:t xml:space="preserve">Servicios de prevención y protección                          </w:t>
    </w:r>
    <w:r w:rsidR="002E5355">
      <w:rPr>
        <w:rFonts w:ascii="Times New Roman" w:eastAsia="Times New Roman" w:hAnsi="Times New Roman"/>
        <w:sz w:val="16"/>
        <w:szCs w:val="16"/>
        <w:lang w:val="es-419"/>
      </w:rPr>
      <w:t xml:space="preserve"> </w:t>
    </w:r>
    <w:bookmarkStart w:id="1" w:name="_GoBack"/>
    <w:bookmarkEnd w:id="1"/>
    <w:r w:rsidRPr="00BE7006">
      <w:rPr>
        <w:rFonts w:ascii="Times New Roman" w:eastAsia="Times New Roman" w:hAnsi="Times New Roman"/>
        <w:sz w:val="16"/>
        <w:szCs w:val="16"/>
        <w:lang w:val="es-419"/>
      </w:rPr>
      <w:t xml:space="preserve">Formulario completado por:     </w:t>
    </w:r>
    <w:r>
      <w:rPr>
        <w:rFonts w:ascii="Wingdings" w:eastAsia="Wingdings" w:hAnsi="Wingdings" w:cs="Wingdings"/>
        <w:sz w:val="16"/>
        <w:szCs w:val="16"/>
        <w:lang w:val="es-ES_tradnl"/>
      </w:rPr>
      <w:sym w:font="Wingdings" w:char="F06F"/>
    </w:r>
    <w:r w:rsidRPr="00BE7006">
      <w:rPr>
        <w:rFonts w:ascii="Times New Roman" w:eastAsia="Times New Roman" w:hAnsi="Times New Roman"/>
        <w:sz w:val="16"/>
        <w:szCs w:val="16"/>
        <w:lang w:val="es-419"/>
      </w:rPr>
      <w:t xml:space="preserve"> Joven/adulto joven          </w:t>
    </w:r>
    <w:r>
      <w:rPr>
        <w:rFonts w:ascii="Wingdings" w:eastAsia="Wingdings" w:hAnsi="Wingdings" w:cs="Wingdings"/>
        <w:sz w:val="16"/>
        <w:szCs w:val="16"/>
        <w:lang w:val="es-ES_tradnl"/>
      </w:rPr>
      <w:sym w:font="Wingdings" w:char="F06F"/>
    </w:r>
    <w:r w:rsidRPr="00BE7006">
      <w:rPr>
        <w:rFonts w:ascii="Times New Roman" w:eastAsia="Times New Roman" w:hAnsi="Times New Roman"/>
        <w:sz w:val="16"/>
        <w:szCs w:val="16"/>
        <w:lang w:val="es-419"/>
      </w:rPr>
      <w:t xml:space="preserve"> Coordinador de IL</w:t>
    </w:r>
    <w:r w:rsidRPr="00BE7006">
      <w:rPr>
        <w:rFonts w:ascii="Times New Roman" w:eastAsia="Times New Roman" w:hAnsi="Times New Roman"/>
        <w:sz w:val="16"/>
        <w:szCs w:val="16"/>
        <w:lang w:val="es-419"/>
      </w:rPr>
      <w:tab/>
    </w:r>
    <w:r>
      <w:rPr>
        <w:rFonts w:ascii="Wingdings" w:eastAsia="Wingdings" w:hAnsi="Wingdings" w:cs="Wingdings"/>
        <w:sz w:val="16"/>
        <w:szCs w:val="16"/>
        <w:lang w:val="es-ES_tradnl"/>
      </w:rPr>
      <w:sym w:font="Wingdings" w:char="F06F"/>
    </w:r>
    <w:r w:rsidRPr="00BE7006">
      <w:rPr>
        <w:rFonts w:ascii="Times New Roman" w:eastAsia="Times New Roman" w:hAnsi="Times New Roman"/>
        <w:sz w:val="16"/>
        <w:szCs w:val="16"/>
        <w:lang w:val="es-419"/>
      </w:rPr>
      <w:t>Joven/Adulto joven y Coordinador de IL</w:t>
    </w:r>
    <w:r w:rsidRPr="00BE7006">
      <w:rPr>
        <w:rFonts w:ascii="Times New Roman" w:eastAsia="Times New Roman" w:hAnsi="Times New Roman"/>
        <w:sz w:val="16"/>
        <w:szCs w:val="16"/>
        <w:lang w:val="es-419"/>
      </w:rPr>
      <w:tab/>
    </w:r>
    <w:r w:rsidRPr="00BE7006">
      <w:rPr>
        <w:rFonts w:ascii="Times New Roman" w:eastAsia="Times New Roman" w:hAnsi="Times New Roman"/>
        <w:sz w:val="16"/>
        <w:szCs w:val="16"/>
        <w:lang w:val="es-419"/>
      </w:rPr>
      <w:tab/>
      <w:t xml:space="preserve">                                    Página </w:t>
    </w:r>
    <w:r w:rsidRPr="00C975C1">
      <w:rPr>
        <w:rFonts w:ascii="Times New Roman" w:hAnsi="Times New Roman"/>
        <w:b/>
        <w:bCs/>
        <w:sz w:val="16"/>
        <w:szCs w:val="16"/>
      </w:rPr>
      <w:fldChar w:fldCharType="begin"/>
    </w:r>
    <w:r w:rsidRPr="00BE7006">
      <w:rPr>
        <w:rFonts w:ascii="Times New Roman" w:hAnsi="Times New Roman"/>
        <w:b/>
        <w:bCs/>
        <w:sz w:val="16"/>
        <w:szCs w:val="16"/>
        <w:lang w:val="es-419"/>
      </w:rPr>
      <w:instrText xml:space="preserve"> PAGE </w:instrText>
    </w:r>
    <w:r w:rsidRPr="00C975C1">
      <w:rPr>
        <w:rFonts w:ascii="Times New Roman" w:hAnsi="Times New Roman"/>
        <w:b/>
        <w:bCs/>
        <w:sz w:val="16"/>
        <w:szCs w:val="16"/>
      </w:rPr>
      <w:fldChar w:fldCharType="separate"/>
    </w:r>
    <w:r w:rsidRPr="00BE7006">
      <w:rPr>
        <w:rFonts w:ascii="Times New Roman" w:hAnsi="Times New Roman"/>
        <w:b/>
        <w:bCs/>
        <w:sz w:val="16"/>
        <w:szCs w:val="16"/>
        <w:lang w:val="es-419"/>
      </w:rPr>
      <w:t>2</w:t>
    </w:r>
    <w:r w:rsidRPr="00C975C1">
      <w:rPr>
        <w:rFonts w:ascii="Times New Roman" w:hAnsi="Times New Roman"/>
        <w:b/>
        <w:bCs/>
        <w:sz w:val="16"/>
        <w:szCs w:val="16"/>
      </w:rPr>
      <w:fldChar w:fldCharType="end"/>
    </w:r>
    <w:r w:rsidRPr="00BE7006">
      <w:rPr>
        <w:rFonts w:ascii="Times New Roman" w:eastAsia="Times New Roman" w:hAnsi="Times New Roman"/>
        <w:sz w:val="16"/>
        <w:szCs w:val="16"/>
        <w:lang w:val="es-419"/>
      </w:rPr>
      <w:t xml:space="preserve"> de </w:t>
    </w:r>
    <w:r w:rsidRPr="00C975C1">
      <w:rPr>
        <w:rFonts w:ascii="Times New Roman" w:hAnsi="Times New Roman"/>
        <w:b/>
        <w:bCs/>
        <w:sz w:val="16"/>
        <w:szCs w:val="16"/>
      </w:rPr>
      <w:fldChar w:fldCharType="begin"/>
    </w:r>
    <w:r w:rsidRPr="00BE7006">
      <w:rPr>
        <w:rFonts w:ascii="Times New Roman" w:hAnsi="Times New Roman"/>
        <w:b/>
        <w:bCs/>
        <w:sz w:val="16"/>
        <w:szCs w:val="16"/>
        <w:lang w:val="es-419"/>
      </w:rPr>
      <w:instrText xml:space="preserve"> NUMPAGES  </w:instrText>
    </w:r>
    <w:r w:rsidRPr="00C975C1">
      <w:rPr>
        <w:rFonts w:ascii="Times New Roman" w:hAnsi="Times New Roman"/>
        <w:b/>
        <w:bCs/>
        <w:sz w:val="16"/>
        <w:szCs w:val="16"/>
      </w:rPr>
      <w:fldChar w:fldCharType="separate"/>
    </w:r>
    <w:r w:rsidRPr="00BE7006">
      <w:rPr>
        <w:rFonts w:ascii="Times New Roman" w:hAnsi="Times New Roman"/>
        <w:b/>
        <w:bCs/>
        <w:sz w:val="16"/>
        <w:szCs w:val="16"/>
        <w:lang w:val="es-419"/>
      </w:rPr>
      <w:t>3</w:t>
    </w:r>
    <w:r w:rsidRPr="00C975C1">
      <w:rPr>
        <w:rFonts w:ascii="Times New Roman" w:hAnsi="Times New Roman"/>
        <w:b/>
        <w:bCs/>
        <w:sz w:val="16"/>
        <w:szCs w:val="16"/>
      </w:rPr>
      <w:fldChar w:fldCharType="end"/>
    </w:r>
  </w:p>
  <w:p w:rsidR="00D60C24" w:rsidRPr="002D1083" w:rsidRDefault="00FF322A" w:rsidP="00FF081D">
    <w:pPr>
      <w:pStyle w:val="Header"/>
      <w:tabs>
        <w:tab w:val="left" w:pos="7515"/>
      </w:tabs>
      <w:ind w:left="-990"/>
      <w:rPr>
        <w:rFonts w:ascii="Times New Roman" w:hAnsi="Times New Roman"/>
        <w:sz w:val="16"/>
        <w:szCs w:val="16"/>
      </w:rPr>
    </w:pPr>
    <w:r w:rsidRPr="00BE7006">
      <w:rPr>
        <w:lang w:val="es-419"/>
      </w:rPr>
      <w:t xml:space="preserve">                                                                     </w:t>
    </w:r>
    <w:r>
      <w:rPr>
        <w:rFonts w:ascii="Times New Roman" w:eastAsia="Times New Roman" w:hAnsi="Times New Roman"/>
        <w:sz w:val="16"/>
        <w:szCs w:val="16"/>
        <w:lang w:val="es-ES_tradnl"/>
      </w:rPr>
      <w:t>Fecha de entrada en la base de datos: 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04"/>
    <w:rsid w:val="000F3215"/>
    <w:rsid w:val="00122BBB"/>
    <w:rsid w:val="00166C27"/>
    <w:rsid w:val="001A30CB"/>
    <w:rsid w:val="002749F2"/>
    <w:rsid w:val="002D1083"/>
    <w:rsid w:val="002E5355"/>
    <w:rsid w:val="0031681D"/>
    <w:rsid w:val="003B4146"/>
    <w:rsid w:val="003C6657"/>
    <w:rsid w:val="00414722"/>
    <w:rsid w:val="004738F1"/>
    <w:rsid w:val="00477076"/>
    <w:rsid w:val="00507854"/>
    <w:rsid w:val="00514B89"/>
    <w:rsid w:val="0055765D"/>
    <w:rsid w:val="0057559A"/>
    <w:rsid w:val="006435D0"/>
    <w:rsid w:val="006C7C75"/>
    <w:rsid w:val="006E530F"/>
    <w:rsid w:val="00707635"/>
    <w:rsid w:val="00812902"/>
    <w:rsid w:val="008C5978"/>
    <w:rsid w:val="00A539D6"/>
    <w:rsid w:val="00AC5792"/>
    <w:rsid w:val="00BC1DB2"/>
    <w:rsid w:val="00BE7006"/>
    <w:rsid w:val="00C40999"/>
    <w:rsid w:val="00C975C1"/>
    <w:rsid w:val="00CA4942"/>
    <w:rsid w:val="00D60C24"/>
    <w:rsid w:val="00F15E04"/>
    <w:rsid w:val="00FA79F3"/>
    <w:rsid w:val="00FB68CE"/>
    <w:rsid w:val="00FF081D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FD9F6"/>
  <w15:chartTrackingRefBased/>
  <w15:docId w15:val="{0AD1237D-F95D-4388-9676-5170F44B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E0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15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E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23E200-B150-4DEA-B613-E21C23025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925C22-E376-48C4-8A88-A8C82A7CA6DA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53E2EDC-8AE8-4D1C-B6B5-85B92C04AC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PPS7030</dc:title>
  <dc:creator>Shailiegh Piepmeier</dc:creator>
  <cp:lastModifiedBy>Michelle Reichart [DCF]</cp:lastModifiedBy>
  <cp:revision>6</cp:revision>
  <cp:lastPrinted>2020-06-29T18:07:00Z</cp:lastPrinted>
  <dcterms:created xsi:type="dcterms:W3CDTF">2021-06-03T16:46:00Z</dcterms:created>
  <dcterms:modified xsi:type="dcterms:W3CDTF">2021-07-29T16:12:00Z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